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rFonts w:ascii="宋体" w:hAnsi="宋体"/>
          <w:color w:val="003366"/>
          <w:sz w:val="32"/>
        </w:rPr>
        <w:t>投资项目后评价报告（标准结构）</w:t>
      </w:r>
    </w:p>
    <w:p>
      <w:r>
        <w:rPr>
          <w:rFonts w:ascii="宋体" w:hAnsi="宋体"/>
          <w:color w:val="777777"/>
          <w:sz w:val="18"/>
        </w:rPr>
        <w:t>适用：国有企业、平台公司、大型企业集团自主委托的固定资产投资项目后评价 · 中撰咨询 159 8903 9303（余经理）</w:t>
      </w:r>
    </w:p>
    <w:p>
      <w:pPr>
        <w:pStyle w:val="Heading2"/>
      </w:pPr>
      <w:r>
        <w:t>第一章 项目概况</w:t>
      </w:r>
    </w:p>
    <w:p>
      <w:r>
        <w:rPr>
          <w:rFonts w:ascii="宋体" w:hAnsi="宋体"/>
          <w:b/>
          <w:sz w:val="21"/>
        </w:rPr>
        <w:t>1.1 项目基本情况</w:t>
      </w:r>
      <w:r>
        <w:rPr>
          <w:rFonts w:ascii="宋体" w:hAnsi="宋体"/>
          <w:sz w:val="21"/>
        </w:rPr>
        <w:t>项目名称、建设单位、建设地点、建设性质（新建/改扩建/技改）、所属行业。</w:t>
      </w:r>
    </w:p>
    <w:p>
      <w:r>
        <w:rPr>
          <w:rFonts w:ascii="宋体" w:hAnsi="宋体"/>
          <w:b/>
          <w:sz w:val="21"/>
        </w:rPr>
        <w:t>1.2 决策与审批过程</w:t>
      </w:r>
      <w:r>
        <w:rPr>
          <w:rFonts w:ascii="宋体" w:hAnsi="宋体"/>
          <w:sz w:val="21"/>
        </w:rPr>
        <w:t>立项批复文件与时间、可研批复、初步设计批复、开工与竣工时间、验收情况。</w:t>
      </w:r>
    </w:p>
    <w:p>
      <w:r>
        <w:rPr>
          <w:rFonts w:ascii="宋体" w:hAnsi="宋体"/>
          <w:b/>
          <w:sz w:val="21"/>
        </w:rPr>
        <w:t>1.3 主要建设内容与规模</w:t>
      </w:r>
      <w:r>
        <w:rPr>
          <w:rFonts w:ascii="宋体" w:hAnsi="宋体"/>
          <w:sz w:val="21"/>
        </w:rPr>
        <w:t>与可研批复逐项对照，列实际建成内容，差异单独标注。</w:t>
      </w:r>
    </w:p>
    <w:p>
      <w:r>
        <w:rPr>
          <w:rFonts w:ascii="宋体" w:hAnsi="宋体"/>
          <w:b/>
          <w:sz w:val="21"/>
        </w:rPr>
        <w:t>1.4 投资与资金来源</w:t>
      </w:r>
      <w:r>
        <w:rPr>
          <w:rFonts w:ascii="宋体" w:hAnsi="宋体"/>
          <w:sz w:val="21"/>
        </w:rPr>
        <w:t>批复总投资、实际完成投资、超支或节余金额与比例、资金结构。</w:t>
      </w:r>
    </w:p>
    <w:p>
      <w:pPr>
        <w:pStyle w:val="Heading2"/>
      </w:pPr>
      <w:r>
        <w:t>第二章 项目实施过程评价</w:t>
      </w:r>
    </w:p>
    <w:p>
      <w:r>
        <w:rPr>
          <w:rFonts w:ascii="宋体" w:hAnsi="宋体"/>
          <w:b/>
          <w:sz w:val="21"/>
        </w:rPr>
        <w:t>2.1 前期工作</w:t>
      </w:r>
      <w:r>
        <w:rPr>
          <w:rFonts w:ascii="宋体" w:hAnsi="宋体"/>
          <w:sz w:val="21"/>
        </w:rPr>
        <w:t>立项、可研、设计、招标各环节实际耗时与计划对比，找出滞后节点。</w:t>
      </w:r>
    </w:p>
    <w:p>
      <w:r>
        <w:rPr>
          <w:rFonts w:ascii="宋体" w:hAnsi="宋体"/>
          <w:b/>
          <w:sz w:val="21"/>
        </w:rPr>
        <w:t>2.2 建设管理</w:t>
      </w:r>
      <w:r>
        <w:rPr>
          <w:rFonts w:ascii="宋体" w:hAnsi="宋体"/>
          <w:sz w:val="21"/>
        </w:rPr>
        <w:t>进度、质量、投资三大控制的实际执行情况；变更、签证、索赔的发生次数与金额。</w:t>
      </w:r>
    </w:p>
    <w:p>
      <w:r>
        <w:rPr>
          <w:rFonts w:ascii="宋体" w:hAnsi="宋体"/>
          <w:b/>
          <w:sz w:val="21"/>
        </w:rPr>
        <w:t>2.3 资金使用</w:t>
      </w:r>
      <w:r>
        <w:rPr>
          <w:rFonts w:ascii="宋体" w:hAnsi="宋体"/>
          <w:sz w:val="21"/>
        </w:rPr>
        <w:t>资金到位率、支付进度、是否存在挪用或长期挂账。</w:t>
      </w:r>
    </w:p>
    <w:p>
      <w:r>
        <w:rPr>
          <w:rFonts w:ascii="宋体" w:hAnsi="宋体"/>
          <w:b/>
          <w:sz w:val="21"/>
        </w:rPr>
        <w:t>2.4 投产与运营准备</w:t>
      </w:r>
      <w:r>
        <w:rPr>
          <w:rFonts w:ascii="宋体" w:hAnsi="宋体"/>
          <w:sz w:val="21"/>
        </w:rPr>
        <w:t>人员、原料、配套、试运行情况，投产是否延期及原因。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928"/>
          </w:tcPr>
          <w:p>
            <w:r>
              <w:rPr>
                <w:rFonts w:ascii="宋体" w:hAnsi="宋体"/>
                <w:b/>
                <w:sz w:val="18"/>
              </w:rPr>
              <w:t>对比项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b/>
                <w:sz w:val="18"/>
              </w:rPr>
              <w:t>可研/批复值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b/>
                <w:sz w:val="18"/>
              </w:rPr>
              <w:t>实际值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b/>
                <w:sz w:val="18"/>
              </w:rPr>
              <w:t>偏差率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b/>
                <w:sz w:val="18"/>
              </w:rPr>
              <w:t>偏差原因</w:t>
            </w:r>
          </w:p>
        </w:tc>
      </w:tr>
      <w:tr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  <w:t>建设规模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  <w:t>总投资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  <w:t>建设工期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  <w:t>达产时间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  <w:t>主要产品产量</w:t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928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r>
        <w:rPr>
          <w:rFonts w:ascii="宋体" w:hAnsi="宋体"/>
          <w:b/>
          <w:sz w:val="21"/>
        </w:rPr>
        <w:t>说明：</w:t>
      </w:r>
      <w:r>
        <w:rPr>
          <w:rFonts w:ascii="宋体" w:hAnsi="宋体"/>
          <w:sz w:val="21"/>
        </w:rPr>
        <w:t>这张表是全篇的核心，先填表再写文字，不要先写文字后补表。偏差超过 10% 的项必须单独分析。</w:t>
      </w:r>
    </w:p>
    <w:p>
      <w:pPr>
        <w:pStyle w:val="Heading2"/>
      </w:pPr>
      <w:r>
        <w:t>第三章 项目效果评价</w:t>
      </w:r>
    </w:p>
    <w:p>
      <w:r>
        <w:rPr>
          <w:rFonts w:ascii="宋体" w:hAnsi="宋体"/>
          <w:b/>
          <w:sz w:val="21"/>
        </w:rPr>
        <w:t>3.1 技术效果</w:t>
      </w:r>
      <w:r>
        <w:rPr>
          <w:rFonts w:ascii="宋体" w:hAnsi="宋体"/>
          <w:sz w:val="21"/>
        </w:rPr>
        <w:t>产能利用率、产品质量指标、能耗与物耗水平，与设计值对比。</w:t>
      </w:r>
    </w:p>
    <w:p>
      <w:r>
        <w:rPr>
          <w:rFonts w:ascii="宋体" w:hAnsi="宋体"/>
          <w:b/>
          <w:sz w:val="21"/>
        </w:rPr>
        <w:t>3.2 财务与经济效益</w:t>
      </w:r>
      <w:r>
        <w:rPr>
          <w:rFonts w:ascii="宋体" w:hAnsi="宋体"/>
          <w:sz w:val="21"/>
        </w:rPr>
        <w:t>实际收入、成本、利润、投资回收期、内部收益率，与可研预测对比。</w:t>
      </w:r>
    </w:p>
    <w:p>
      <w:r>
        <w:rPr>
          <w:rFonts w:ascii="宋体" w:hAnsi="宋体"/>
          <w:b/>
          <w:sz w:val="21"/>
        </w:rPr>
        <w:t>3.3 社会效益</w:t>
      </w:r>
      <w:r>
        <w:rPr>
          <w:rFonts w:ascii="宋体" w:hAnsi="宋体"/>
          <w:sz w:val="21"/>
        </w:rPr>
        <w:t>就业人数、税收贡献、对上下游带动，用可核实的数字。</w:t>
      </w:r>
    </w:p>
    <w:p>
      <w:r>
        <w:rPr>
          <w:rFonts w:ascii="宋体" w:hAnsi="宋体"/>
          <w:b/>
          <w:sz w:val="21"/>
        </w:rPr>
        <w:t>3.4 环境与节能</w:t>
      </w:r>
      <w:r>
        <w:rPr>
          <w:rFonts w:ascii="宋体" w:hAnsi="宋体"/>
          <w:sz w:val="21"/>
        </w:rPr>
        <w:t>污染物排放实测值、能耗实际值与批复值对比。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494"/>
          </w:tcPr>
          <w:p>
            <w:r>
              <w:rPr>
                <w:rFonts w:ascii="宋体" w:hAnsi="宋体"/>
                <w:b/>
                <w:sz w:val="18"/>
              </w:rPr>
              <w:t>指标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b/>
                <w:sz w:val="18"/>
              </w:rPr>
              <w:t>可研预测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b/>
                <w:sz w:val="18"/>
              </w:rPr>
              <w:t>实际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b/>
                <w:sz w:val="18"/>
              </w:rPr>
              <w:t>达成情况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年营业收入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达标/未达标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年利润总额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投资回收期（年）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财务内部收益率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产能利用率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</w:r>
          </w:p>
        </w:tc>
      </w:tr>
    </w:tbl>
    <w:p>
      <w:pPr>
        <w:pStyle w:val="Heading2"/>
      </w:pPr>
      <w:r>
        <w:t>第四章 项目目标与成功度评价</w:t>
      </w:r>
    </w:p>
    <w:p>
      <w:r>
        <w:rPr>
          <w:rFonts w:ascii="宋体" w:hAnsi="宋体"/>
          <w:b/>
          <w:sz w:val="21"/>
        </w:rPr>
        <w:t>4.1 目标实现程度</w:t>
      </w:r>
      <w:r>
        <w:rPr>
          <w:rFonts w:ascii="宋体" w:hAnsi="宋体"/>
          <w:sz w:val="21"/>
        </w:rPr>
        <w:t>可研设定的目标逐项打分：完全实现、基本实现、部分实现、未实现。</w:t>
      </w:r>
    </w:p>
    <w:p>
      <w:r>
        <w:rPr>
          <w:rFonts w:ascii="宋体" w:hAnsi="宋体"/>
          <w:b/>
          <w:sz w:val="21"/>
        </w:rPr>
        <w:t>4.2 成功度评价</w:t>
      </w:r>
      <w:r>
        <w:rPr>
          <w:rFonts w:ascii="宋体" w:hAnsi="宋体"/>
          <w:sz w:val="21"/>
        </w:rPr>
        <w:t>按五级评定（完全成功、成功、部分成功、不成功、失败），给出评定依据。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494"/>
          </w:tcPr>
          <w:p>
            <w:r>
              <w:rPr>
                <w:rFonts w:ascii="宋体" w:hAnsi="宋体"/>
                <w:b/>
                <w:sz w:val="18"/>
              </w:rPr>
              <w:t>评价维度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b/>
                <w:sz w:val="18"/>
              </w:rPr>
              <w:t>权重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b/>
                <w:sz w:val="18"/>
              </w:rPr>
              <w:t>得分</w:t>
            </w:r>
          </w:p>
        </w:tc>
        <w:tc>
          <w:tcPr>
            <w:tcW w:type="dxa" w:w="5329"/>
          </w:tcPr>
          <w:p>
            <w:r>
              <w:rPr>
                <w:rFonts w:ascii="宋体" w:hAnsi="宋体"/>
                <w:b/>
                <w:sz w:val="18"/>
              </w:rPr>
              <w:t>评定说明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项目目标实现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329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实施过程管理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329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投资与财务效果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329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可持续性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329"/>
          </w:tcPr>
          <w:p>
            <w:r>
              <w:rPr>
                <w:rFonts w:ascii="宋体" w:hAnsi="宋体"/>
                <w:sz w:val="18"/>
              </w:rPr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综合成功度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  <w:t>100%</w:t>
            </w:r>
          </w:p>
        </w:tc>
        <w:tc>
          <w:tcPr>
            <w:tcW w:type="dxa" w:w="1361"/>
          </w:tcPr>
          <w:p>
            <w:r>
              <w:rPr>
                <w:rFonts w:ascii="宋体" w:hAnsi="宋体"/>
                <w:sz w:val="18"/>
              </w:rPr>
            </w:r>
          </w:p>
        </w:tc>
        <w:tc>
          <w:tcPr>
            <w:tcW w:type="dxa" w:w="5329"/>
          </w:tcPr>
          <w:p>
            <w:r>
              <w:rPr>
                <w:rFonts w:ascii="宋体" w:hAnsi="宋体"/>
                <w:sz w:val="18"/>
              </w:rPr>
              <w:t>A/B/C/D/E</w:t>
            </w:r>
          </w:p>
        </w:tc>
      </w:tr>
    </w:tbl>
    <w:p>
      <w:r>
        <w:rPr>
          <w:rFonts w:ascii="宋体" w:hAnsi="宋体"/>
          <w:b/>
          <w:sz w:val="21"/>
        </w:rPr>
        <w:t>注意：</w:t>
      </w:r>
      <w:r>
        <w:rPr>
          <w:rFonts w:ascii="宋体" w:hAnsi="宋体"/>
          <w:sz w:val="21"/>
        </w:rPr>
        <w:t>成功度评价必须写清判定理由，并给出与评分对应的证据（报告、台账、审计结论），不能只给结论。</w:t>
      </w:r>
    </w:p>
    <w:p>
      <w:pPr>
        <w:pStyle w:val="Heading2"/>
      </w:pPr>
      <w:r>
        <w:t>第五章 可持续性评价</w:t>
      </w:r>
    </w:p>
    <w:p>
      <w:r>
        <w:rPr>
          <w:rFonts w:ascii="宋体" w:hAnsi="宋体"/>
          <w:b/>
          <w:sz w:val="21"/>
        </w:rPr>
        <w:t>5.1 运营可持续性</w:t>
      </w:r>
      <w:r>
        <w:rPr>
          <w:rFonts w:ascii="宋体" w:hAnsi="宋体"/>
          <w:sz w:val="21"/>
        </w:rPr>
        <w:t>市场需求、竞争格局、产能消化能力；是否存在开工不足。</w:t>
      </w:r>
    </w:p>
    <w:p>
      <w:r>
        <w:rPr>
          <w:rFonts w:ascii="宋体" w:hAnsi="宋体"/>
          <w:b/>
          <w:sz w:val="21"/>
        </w:rPr>
        <w:t>5.2 财务可持续性</w:t>
      </w:r>
      <w:r>
        <w:rPr>
          <w:rFonts w:ascii="宋体" w:hAnsi="宋体"/>
          <w:sz w:val="21"/>
        </w:rPr>
        <w:t>现金流是否为正、偿债能力、对补贴的依赖程度。</w:t>
      </w:r>
    </w:p>
    <w:p>
      <w:r>
        <w:rPr>
          <w:rFonts w:ascii="宋体" w:hAnsi="宋体"/>
          <w:b/>
          <w:sz w:val="21"/>
        </w:rPr>
        <w:t>5.3 政策与合规可持续性</w:t>
      </w:r>
      <w:r>
        <w:rPr>
          <w:rFonts w:ascii="宋体" w:hAnsi="宋体"/>
          <w:sz w:val="21"/>
        </w:rPr>
        <w:t>环保、安全、能耗指标是否可长期满足；有无整改事项。</w:t>
      </w:r>
    </w:p>
    <w:p>
      <w:pPr>
        <w:pStyle w:val="Heading2"/>
      </w:pPr>
      <w:r>
        <w:t>第六章 经验教训与建议</w:t>
      </w:r>
    </w:p>
    <w:p>
      <w:r>
        <w:rPr>
          <w:rFonts w:ascii="宋体" w:hAnsi="宋体"/>
          <w:b/>
          <w:sz w:val="21"/>
        </w:rPr>
        <w:t>6.1 主要经验</w:t>
      </w:r>
      <w:r>
        <w:rPr>
          <w:rFonts w:ascii="宋体" w:hAnsi="宋体"/>
          <w:sz w:val="21"/>
        </w:rPr>
        <w:t>可复制的做法，写清在哪类项目上适用。</w:t>
      </w:r>
    </w:p>
    <w:p>
      <w:r>
        <w:rPr>
          <w:rFonts w:ascii="宋体" w:hAnsi="宋体"/>
          <w:b/>
          <w:sz w:val="21"/>
        </w:rPr>
        <w:t>6.2 主要教训</w:t>
      </w:r>
      <w:r>
        <w:rPr>
          <w:rFonts w:ascii="宋体" w:hAnsi="宋体"/>
          <w:sz w:val="21"/>
        </w:rPr>
        <w:t>决策、设计、招标、施工、运营各环节的具体问题，不含糊。</w:t>
      </w:r>
    </w:p>
    <w:p>
      <w:r>
        <w:rPr>
          <w:rFonts w:ascii="宋体" w:hAnsi="宋体"/>
          <w:b/>
          <w:sz w:val="21"/>
        </w:rPr>
        <w:t>6.3 改进建议</w:t>
      </w:r>
      <w:r>
        <w:rPr>
          <w:rFonts w:ascii="宋体" w:hAnsi="宋体"/>
          <w:sz w:val="21"/>
        </w:rPr>
        <w:t>分对项目本身、对投资决策机制、对同类项目三类，每条给责任主体与时间。</w:t>
      </w:r>
    </w:p>
    <w:p>
      <w:pPr>
        <w:pStyle w:val="Heading2"/>
      </w:pPr>
      <w:r>
        <w:t>附件清单</w:t>
      </w:r>
    </w:p>
    <w:p>
      <w:r>
        <w:rPr>
          <w:rFonts w:ascii="宋体" w:hAnsi="宋体"/>
          <w:b/>
          <w:sz w:val="21"/>
        </w:rPr>
        <w:t>①</w:t>
      </w:r>
      <w:r>
        <w:rPr>
          <w:rFonts w:ascii="宋体" w:hAnsi="宋体"/>
          <w:sz w:val="21"/>
        </w:rPr>
        <w:t>项目批复文件汇编（立项、可研、初设）</w:t>
      </w:r>
    </w:p>
    <w:p>
      <w:r>
        <w:rPr>
          <w:rFonts w:ascii="宋体" w:hAnsi="宋体"/>
          <w:b/>
          <w:sz w:val="21"/>
        </w:rPr>
        <w:t>②</w:t>
      </w:r>
      <w:r>
        <w:rPr>
          <w:rFonts w:ascii="宋体" w:hAnsi="宋体"/>
          <w:sz w:val="21"/>
        </w:rPr>
        <w:t>竣工决算与审计报告</w:t>
      </w:r>
    </w:p>
    <w:p>
      <w:r>
        <w:rPr>
          <w:rFonts w:ascii="宋体" w:hAnsi="宋体"/>
          <w:b/>
          <w:sz w:val="21"/>
        </w:rPr>
        <w:t>③</w:t>
      </w:r>
      <w:r>
        <w:rPr>
          <w:rFonts w:ascii="宋体" w:hAnsi="宋体"/>
          <w:sz w:val="21"/>
        </w:rPr>
        <w:t>运营期财务报表（近三年）</w:t>
      </w:r>
    </w:p>
    <w:p>
      <w:r>
        <w:rPr>
          <w:rFonts w:ascii="宋体" w:hAnsi="宋体"/>
          <w:b/>
          <w:sz w:val="21"/>
        </w:rPr>
        <w:t>④</w:t>
      </w:r>
      <w:r>
        <w:rPr>
          <w:rFonts w:ascii="宋体" w:hAnsi="宋体"/>
          <w:sz w:val="21"/>
        </w:rPr>
        <w:t>现场调研记录与访谈纪要</w:t>
      </w:r>
    </w:p>
    <w:p>
      <w:r>
        <w:rPr>
          <w:rFonts w:ascii="宋体" w:hAnsi="宋体"/>
          <w:b/>
          <w:sz w:val="21"/>
        </w:rPr>
        <w:t>⑤</w:t>
      </w:r>
      <w:r>
        <w:rPr>
          <w:rFonts w:ascii="宋体" w:hAnsi="宋体"/>
          <w:sz w:val="21"/>
        </w:rPr>
        <w:t>问卷统计表（如有社会效益评价）</w:t>
      </w:r>
    </w:p>
    <w:p>
      <w:pPr>
        <w:pStyle w:val="Heading2"/>
      </w:pPr>
      <w:r>
        <w:t>编制要点（三条硬规矩）</w:t>
      </w:r>
    </w:p>
    <w:p>
      <w:r>
        <w:rPr>
          <w:rFonts w:ascii="宋体" w:hAnsi="宋体"/>
          <w:b/>
          <w:sz w:val="21"/>
        </w:rPr>
        <w:t>一、</w:t>
      </w:r>
      <w:r>
        <w:rPr>
          <w:rFonts w:ascii="宋体" w:hAnsi="宋体"/>
          <w:sz w:val="21"/>
        </w:rPr>
        <w:t>独立性。承担后评价的机构不得参与过该项目的可研编制、设计、招标代理或监理，否则结论不被采信。</w:t>
      </w:r>
    </w:p>
    <w:p>
      <w:r>
        <w:rPr>
          <w:rFonts w:ascii="宋体" w:hAnsi="宋体"/>
          <w:b/>
          <w:sz w:val="21"/>
        </w:rPr>
        <w:t>二、</w:t>
      </w:r>
      <w:r>
        <w:rPr>
          <w:rFonts w:ascii="宋体" w:hAnsi="宋体"/>
          <w:sz w:val="21"/>
        </w:rPr>
        <w:t>证据先行。所有结论必须有台账、报表、批复或现场记录支撑，不能凭访谈印象。</w:t>
      </w:r>
    </w:p>
    <w:p>
      <w:r>
        <w:rPr>
          <w:rFonts w:ascii="宋体" w:hAnsi="宋体"/>
          <w:b/>
          <w:sz w:val="21"/>
        </w:rPr>
        <w:t>三、</w:t>
      </w:r>
      <w:r>
        <w:rPr>
          <w:rFonts w:ascii="宋体" w:hAnsi="宋体"/>
          <w:sz w:val="21"/>
        </w:rPr>
        <w:t>写问题不写套话。“管理有待加强”这类表述无效，要写清哪个环节、偏差多少、责任在哪。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