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境外投资（ODI）备案材料清单</w:t>
      </w:r>
    </w:p>
    <w:p>
      <w:r>
        <w:t>适用：内地企业（含国有企业、城投平台、央企子公司、民营企业）以新设、增资、并购、参股方式赴香港、澳门及其他境外国家和地区投资。</w:t>
      </w:r>
    </w:p>
    <w:p>
      <w:r>
        <w:t>口径依据：《企业境外投资管理办法》（发改委 2018 年第 11 号令）、《境外投资管理办法》（商务部 2014 年第 3 号令，第 37 条明确赴港澳台投资参照执行）、《中央企业境外投资监督管理办法》（国资委 2017 年第 35 号令）、汇发〔2015〕13 号。</w:t>
      </w:r>
    </w:p>
    <w:p>
      <w:r>
        <w:t>使用说明：本清单按“先判路径—再备材料—后排序”三段使用。判断错误会导致整包材料作废，请务必先完成第一步。</w:t>
      </w:r>
    </w:p>
    <w:p>
      <w:pPr>
        <w:pStyle w:val="Heading1"/>
      </w:pPr>
      <w:r>
        <w:t>第一步 先判断：走备案还是走核准</w:t>
      </w:r>
    </w:p>
    <w:tbl>
      <w:tblPr>
        <w:tblStyle w:val="TableGrid"/>
        <w:tblW w:type="auto" w:w="0"/>
        <w:tblLook w:firstColumn="1" w:firstRow="1" w:lastColumn="0" w:lastRow="0" w:noHBand="0" w:noVBand="1" w:val="04A0"/>
      </w:tblPr>
      <w:tblGrid>
        <w:gridCol w:w="2880"/>
        <w:gridCol w:w="2880"/>
        <w:gridCol w:w="2880"/>
      </w:tblGrid>
      <w:tr>
        <w:tc>
          <w:tcPr>
            <w:tcW w:type="dxa" w:w="2880"/>
          </w:tcPr>
          <w:p>
            <w:r>
              <w:t>判断项</w:t>
            </w:r>
          </w:p>
        </w:tc>
        <w:tc>
          <w:tcPr>
            <w:tcW w:type="dxa" w:w="2880"/>
          </w:tcPr>
          <w:p>
            <w:r>
              <w:t>结论</w:t>
            </w:r>
          </w:p>
        </w:tc>
        <w:tc>
          <w:tcPr>
            <w:tcW w:type="dxa" w:w="2880"/>
          </w:tcPr>
          <w:p>
            <w:r>
              <w:t>依据</w:t>
            </w:r>
          </w:p>
        </w:tc>
      </w:tr>
      <w:tr>
        <w:tc>
          <w:tcPr>
            <w:tcW w:type="dxa" w:w="2880"/>
          </w:tcPr>
          <w:p>
            <w:r>
              <w:t>是否涉及敏感国家和地区（未建交、战乱、受限制等）</w:t>
            </w:r>
          </w:p>
        </w:tc>
        <w:tc>
          <w:tcPr>
            <w:tcW w:type="dxa" w:w="2880"/>
          </w:tcPr>
          <w:p>
            <w:r>
              <w:t>涉及→核准</w:t>
            </w:r>
          </w:p>
        </w:tc>
        <w:tc>
          <w:tcPr>
            <w:tcW w:type="dxa" w:w="2880"/>
          </w:tcPr>
          <w:p>
            <w:r>
              <w:t>11 号令第 13 条</w:t>
            </w:r>
          </w:p>
        </w:tc>
      </w:tr>
      <w:tr>
        <w:tc>
          <w:tcPr>
            <w:tcW w:type="dxa" w:w="2880"/>
          </w:tcPr>
          <w:p>
            <w:r>
              <w:t>是否涉及敏感行业：武器装备、跨境水资源、新闻传媒、房地产、酒店、影城、娱乐业、体育俱乐部、境外无具体实业项目的股权投资基金或投资平台</w:t>
            </w:r>
          </w:p>
        </w:tc>
        <w:tc>
          <w:tcPr>
            <w:tcW w:type="dxa" w:w="2880"/>
          </w:tcPr>
          <w:p>
            <w:r>
              <w:t>涉及→核准</w:t>
            </w:r>
          </w:p>
        </w:tc>
        <w:tc>
          <w:tcPr>
            <w:tcW w:type="dxa" w:w="2880"/>
          </w:tcPr>
          <w:p>
            <w:r>
              <w:t>发改委敏感行业目录（2018 版）</w:t>
            </w:r>
          </w:p>
        </w:tc>
      </w:tr>
      <w:tr>
        <w:tc>
          <w:tcPr>
            <w:tcW w:type="dxa" w:w="2880"/>
          </w:tcPr>
          <w:p>
            <w:r>
              <w:t>香港、澳门是否属敏感国家和地区</w:t>
            </w:r>
          </w:p>
        </w:tc>
        <w:tc>
          <w:tcPr>
            <w:tcW w:type="dxa" w:w="2880"/>
          </w:tcPr>
          <w:p>
            <w:r>
              <w:t>否→一般走备案</w:t>
            </w:r>
          </w:p>
        </w:tc>
        <w:tc>
          <w:tcPr>
            <w:tcW w:type="dxa" w:w="2880"/>
          </w:tcPr>
          <w:p>
            <w:r>
              <w:t>赴港澳台投资参照境外投资管理</w:t>
            </w:r>
          </w:p>
        </w:tc>
      </w:tr>
      <w:tr>
        <w:tc>
          <w:tcPr>
            <w:tcW w:type="dxa" w:w="2880"/>
          </w:tcPr>
          <w:p>
            <w:r>
              <w:t>投资主体为中央管理企业</w:t>
            </w:r>
          </w:p>
        </w:tc>
        <w:tc>
          <w:tcPr>
            <w:tcW w:type="dxa" w:w="2880"/>
          </w:tcPr>
          <w:p>
            <w:r>
              <w:t>备案机关为国家发改委</w:t>
            </w:r>
          </w:p>
        </w:tc>
        <w:tc>
          <w:tcPr>
            <w:tcW w:type="dxa" w:w="2880"/>
          </w:tcPr>
          <w:p>
            <w:r>
              <w:t>11 号令第 14 条</w:t>
            </w:r>
          </w:p>
        </w:tc>
      </w:tr>
      <w:tr>
        <w:tc>
          <w:tcPr>
            <w:tcW w:type="dxa" w:w="2880"/>
          </w:tcPr>
          <w:p>
            <w:r>
              <w:t>地方企业且中方投资额 3 亿美元及以上</w:t>
            </w:r>
          </w:p>
        </w:tc>
        <w:tc>
          <w:tcPr>
            <w:tcW w:type="dxa" w:w="2880"/>
          </w:tcPr>
          <w:p>
            <w:r>
              <w:t>备案机关为国家发改委</w:t>
            </w:r>
          </w:p>
        </w:tc>
        <w:tc>
          <w:tcPr>
            <w:tcW w:type="dxa" w:w="2880"/>
          </w:tcPr>
          <w:p>
            <w:r>
              <w:t>11 号令第 14 条</w:t>
            </w:r>
          </w:p>
        </w:tc>
      </w:tr>
      <w:tr>
        <w:tc>
          <w:tcPr>
            <w:tcW w:type="dxa" w:w="2880"/>
          </w:tcPr>
          <w:p>
            <w:r>
              <w:t>地方企业且中方投资额 3 亿美元以下</w:t>
            </w:r>
          </w:p>
        </w:tc>
        <w:tc>
          <w:tcPr>
            <w:tcW w:type="dxa" w:w="2880"/>
          </w:tcPr>
          <w:p>
            <w:r>
              <w:t>备案机关为省级发改部门</w:t>
            </w:r>
          </w:p>
        </w:tc>
        <w:tc>
          <w:tcPr>
            <w:tcW w:type="dxa" w:w="2880"/>
          </w:tcPr>
          <w:p>
            <w:r>
              <w:t>11 号令第 14 条</w:t>
            </w:r>
          </w:p>
        </w:tc>
      </w:tr>
    </w:tbl>
    <w:p>
      <w:pPr>
        <w:pStyle w:val="Heading1"/>
      </w:pPr>
      <w:r>
        <w:t>第二步 按口径备材料</w:t>
      </w:r>
    </w:p>
    <w:p>
      <w:pPr>
        <w:pStyle w:val="Heading2"/>
      </w:pPr>
      <w:r>
        <w:t>一、发展改革部门</w:t>
      </w:r>
    </w:p>
    <w:p>
      <w:r>
        <w:t>备案情形（非敏感类）：</w:t>
      </w:r>
    </w:p>
    <w:p>
      <w:pPr>
        <w:pStyle w:val="ListBullet"/>
      </w:pPr>
      <w:r>
        <w:t>境外投资项目备案表（网络系统填报）</w:t>
      </w:r>
    </w:p>
    <w:p>
      <w:pPr>
        <w:pStyle w:val="ListBullet"/>
      </w:pPr>
      <w:r>
        <w:t>投资主体注册登记证明文件（营业执照）</w:t>
      </w:r>
    </w:p>
    <w:p>
      <w:pPr>
        <w:pStyle w:val="ListBullet"/>
      </w:pPr>
      <w:r>
        <w:t>追溯至最终实际控制人的投资主体股权架构图</w:t>
      </w:r>
    </w:p>
    <w:p>
      <w:pPr>
        <w:pStyle w:val="ListBullet"/>
      </w:pPr>
      <w:r>
        <w:t>最新经审计的投资主体财务报表（成立不满一年可提供控股股东或实际控制人的）</w:t>
      </w:r>
    </w:p>
    <w:p>
      <w:pPr>
        <w:pStyle w:val="ListBullet"/>
      </w:pPr>
      <w:r>
        <w:t>投资主体投资决策文件（董事会决议、投委会决议等）</w:t>
      </w:r>
    </w:p>
    <w:p>
      <w:pPr>
        <w:pStyle w:val="ListBullet"/>
      </w:pPr>
      <w:r>
        <w:t>具有法律约束力的投资协议或类似文件（设立全资子公司且无对外协议的，作出说明后可不提供）</w:t>
      </w:r>
    </w:p>
    <w:p>
      <w:pPr>
        <w:pStyle w:val="ListBullet"/>
      </w:pPr>
      <w:r>
        <w:t>证明投资资金来源真实合规的支持性文件（存款证明、融资意向书、资产权益作价依据等）</w:t>
      </w:r>
    </w:p>
    <w:p>
      <w:pPr>
        <w:pStyle w:val="ListBullet"/>
      </w:pPr>
      <w:r>
        <w:t>境外投资真实性承诺书</w:t>
      </w:r>
    </w:p>
    <w:p>
      <w:r>
        <w:t>核准情形（敏感类）另需：境外投资项目申请报告，内容包括（1）投资主体情况；（2）项目情况：名称、投资目的地、主要内容和规模、中方投资额；（3）项目对我国国家利益和国家安全的影响分析；（4）投资主体关于项目真实性的声明。</w:t>
      </w:r>
    </w:p>
    <w:p>
      <w:r>
        <w:t>时限提示：备案受理后 7 个工作日内出具备案通知书；核准受理后 20 个工作日内决定，情况复杂可延长 10 个工作日，咨询机构评估时间不计入。</w:t>
      </w:r>
    </w:p>
    <w:p>
      <w:pPr>
        <w:pStyle w:val="Heading2"/>
      </w:pPr>
      <w:r>
        <w:t>二、商务主管部门</w:t>
      </w:r>
    </w:p>
    <w:p>
      <w:pPr>
        <w:pStyle w:val="ListBullet"/>
      </w:pPr>
      <w:r>
        <w:t>境外投资备案表（系统填报后打印加盖印章）</w:t>
      </w:r>
    </w:p>
    <w:p>
      <w:pPr>
        <w:pStyle w:val="ListBullet"/>
      </w:pPr>
      <w:r>
        <w:t>营业执照复印件</w:t>
      </w:r>
    </w:p>
    <w:p>
      <w:pPr>
        <w:pStyle w:val="ListBullet"/>
      </w:pPr>
      <w:r>
        <w:t>前期工作落实情况说明：申请事项内容、境内与境外企业基本情况、资金来源与使用测算明细、可研分析与投资环境分析</w:t>
      </w:r>
    </w:p>
    <w:p>
      <w:pPr>
        <w:pStyle w:val="ListBullet"/>
      </w:pPr>
      <w:r>
        <w:t>境外企业章程（中文版或中文翻译件；合资另附合作协议或合同）</w:t>
      </w:r>
    </w:p>
    <w:p>
      <w:pPr>
        <w:pStyle w:val="ListBullet"/>
      </w:pPr>
      <w:r>
        <w:t>董事会决议或出资决议（全体决策人签字）</w:t>
      </w:r>
    </w:p>
    <w:p>
      <w:pPr>
        <w:pStyle w:val="ListBullet"/>
      </w:pPr>
      <w:r>
        <w:t>境外投资真实性承诺书（决策人签字原件并附身份证复印件，不得用私章）</w:t>
      </w:r>
    </w:p>
    <w:p>
      <w:pPr>
        <w:pStyle w:val="ListBullet"/>
      </w:pPr>
      <w:r>
        <w:t>并购类另加：《境外并购事项前期报告表》；第三方尽职调查（须由律所、会计师事务所等有资质机构出具，不得企业自撰）</w:t>
      </w:r>
    </w:p>
    <w:p>
      <w:r>
        <w:t>时限提示：备案受理后 3 个工作日内颁发《企业境外投资证书》，证书有效期 2 年；赴香港、澳门、台湾地区投资参照本办法执行。</w:t>
      </w:r>
    </w:p>
    <w:p>
      <w:pPr>
        <w:pStyle w:val="Heading2"/>
      </w:pPr>
      <w:r>
        <w:t>三、外汇与报到登记</w:t>
      </w:r>
    </w:p>
    <w:p>
      <w:pPr>
        <w:pStyle w:val="ListBullet"/>
      </w:pPr>
      <w:r>
        <w:t>凭发改委备案通知书（或核准文件）+《企业境外投资证书》到银行办理境外直接投资外汇登记与购付汇（汇发〔2015〕13 号起取消外汇局审批，由银行直接审核办理）</w:t>
      </w:r>
    </w:p>
    <w:p>
      <w:pPr>
        <w:pStyle w:val="ListBullet"/>
      </w:pPr>
      <w:r>
        <w:t>境外企业注册后 30 日内向驻外使（领）馆经商处报到登记；在香港设立的企业向中央人民政府驻香港特别行政区联络办公室经济部办理，在澳门设立的企业向中央人民政府驻澳门特别行政区联络办公室经济部办理</w:t>
      </w:r>
    </w:p>
    <w:p>
      <w:pPr>
        <w:pStyle w:val="ListBullet"/>
      </w:pPr>
      <w:r>
        <w:t>项目完成后 20 个工作日内通过网络系统提交项目完成情况报告表</w:t>
      </w:r>
    </w:p>
    <w:p>
      <w:pPr>
        <w:pStyle w:val="Heading2"/>
      </w:pPr>
      <w:r>
        <w:t>四、国资监管口径（国有企业适用）</w:t>
      </w:r>
    </w:p>
    <w:p>
      <w:r>
        <w:t>中央企业按 35 号令第十二条报送：</w:t>
      </w:r>
    </w:p>
    <w:p>
      <w:pPr>
        <w:pStyle w:val="ListBullet"/>
      </w:pPr>
      <w:r>
        <w:t>开展项目投资的报告</w:t>
      </w:r>
    </w:p>
    <w:p>
      <w:pPr>
        <w:pStyle w:val="ListBullet"/>
      </w:pPr>
      <w:r>
        <w:t>企业有关决策文件</w:t>
      </w:r>
    </w:p>
    <w:p>
      <w:pPr>
        <w:pStyle w:val="ListBullet"/>
      </w:pPr>
      <w:r>
        <w:t>项目可研报告（尽职调查）等相关文件</w:t>
      </w:r>
    </w:p>
    <w:p>
      <w:pPr>
        <w:pStyle w:val="ListBullet"/>
      </w:pPr>
      <w:r>
        <w:t>项目融资方案</w:t>
      </w:r>
    </w:p>
    <w:p>
      <w:pPr>
        <w:pStyle w:val="ListBullet"/>
      </w:pPr>
      <w:r>
        <w:t>项目风险防控报告</w:t>
      </w:r>
    </w:p>
    <w:p>
      <w:pPr>
        <w:pStyle w:val="ListBullet"/>
      </w:pPr>
      <w:r>
        <w:t>其他必要的材料</w:t>
      </w:r>
    </w:p>
    <w:p>
      <w:r>
        <w:t>第十三条要求：境外新投资项目须深入进行技术、市场、财务、法律可行性研究；股权类项目应开展必要尽职调查，并按要求履行资产评估或估值程序。第十四条：原则上不得在境外从事非主业投资。</w:t>
      </w:r>
    </w:p>
    <w:p>
      <w:r>
        <w:t>地方国资口径通常更细，常见补充项：可行性研究报告并附专家论证结论、专家名单及签名复印件；法律意见书；股东会或董事会决议、党委会纪要；尽职调查报告、财务审计、清产核资、资产评估等专业报告。</w:t>
      </w:r>
    </w:p>
    <w:p>
      <w:r>
        <w:t>报送时点：特别监管类项目在企业内部决策后、向国家有关部门首次报送文件前报国资监管机构；一般 20 个工作日内反馈书面意见。项目完成后按要求开展后评价并形成专项报告。</w:t>
      </w:r>
    </w:p>
    <w:p>
      <w:pPr>
        <w:pStyle w:val="Heading1"/>
      </w:pPr>
      <w:r>
        <w:t>第三步 并行排期（不要串行等待）</w:t>
      </w:r>
    </w:p>
    <w:p>
      <w:pPr>
        <w:pStyle w:val="ListBullet"/>
      </w:pPr>
      <w:r>
        <w:t>T+0 内部决策：董事会/投委会决议、党委会纪要先行，后续所有报送均引用</w:t>
      </w:r>
    </w:p>
    <w:p>
      <w:pPr>
        <w:pStyle w:val="ListBullet"/>
      </w:pPr>
      <w:r>
        <w:t>T+0～T+3 周 编制可研报告与前期工作落实情况说明（并购类 1–3 周，新设类 4–7 个工作日）</w:t>
      </w:r>
    </w:p>
    <w:p>
      <w:pPr>
        <w:pStyle w:val="ListBullet"/>
      </w:pPr>
      <w:r>
        <w:t>同步报送：发改委与商务部门原则上相互独立，可同时启动、分别报送</w:t>
      </w:r>
    </w:p>
    <w:p>
      <w:pPr>
        <w:pStyle w:val="ListBullet"/>
      </w:pPr>
      <w:r>
        <w:t>两证齐后：银行办理外汇登记与购付汇</w:t>
      </w:r>
    </w:p>
    <w:p>
      <w:pPr>
        <w:pStyle w:val="ListBullet"/>
      </w:pPr>
      <w:r>
        <w:t>注册后 30 日内：报到登记</w:t>
      </w:r>
    </w:p>
    <w:p>
      <w:pPr>
        <w:pStyle w:val="ListBullet"/>
      </w:pPr>
      <w:r>
        <w:t>完成后 20 个工作日内：项目完成情况报告表；按年度安排后评价</w:t>
      </w:r>
    </w:p>
    <w:p>
      <w:pPr>
        <w:pStyle w:val="Heading1"/>
      </w:pPr>
      <w:r>
        <w:t>五个最常见退件原因</w:t>
      </w:r>
    </w:p>
    <w:p>
      <w:pPr>
        <w:pStyle w:val="ListBullet"/>
      </w:pPr>
      <w:r>
        <w:t>最终目的地填错：通过境外平台公司投资时，平台公司只是路径，备案表须按最终目的地企业填写；横琴等合作区项目更易填错</w:t>
      </w:r>
    </w:p>
    <w:p>
      <w:pPr>
        <w:pStyle w:val="ListBullet"/>
      </w:pPr>
      <w:r>
        <w:t>中方投资额重复计算：中间环节的股东贷款与担保应按“实质重于形式”合并计算，简单累加会被退回</w:t>
      </w:r>
    </w:p>
    <w:p>
      <w:pPr>
        <w:pStyle w:val="ListBullet"/>
      </w:pPr>
      <w:r>
        <w:t>真实性承诺书用私章或非决策人签字：须决策人本人签字原件并附身份证复印件</w:t>
      </w:r>
    </w:p>
    <w:p>
      <w:pPr>
        <w:pStyle w:val="ListBullet"/>
      </w:pPr>
      <w:r>
        <w:t>资金来源证明不充分：仅有说明无存款证明、融资意向书或资产作价依据，视为不真实</w:t>
      </w:r>
    </w:p>
    <w:p>
      <w:pPr>
        <w:pStyle w:val="ListBullet"/>
      </w:pPr>
      <w:r>
        <w:t>国企未先过国资审核把关：在向发改委、商务部首次报送前应先完成出资人审核程序</w:t>
      </w:r>
    </w:p>
    <w:p/>
    <w:p>
      <w:r>
        <w:t>广州中撰企业投资咨询有限公司 · 电话 159 8903 9303（余经理）· 邮箱 1767696378@qq.com · www.cniplan.com</w:t>
      </w:r>
    </w:p>
    <w:p>
      <w:r>
        <w:t>说明：本清单为编制参考，具体以项目所在地主管部门现行要求为准；尽职调查、审计、资产评估须由具备相应资质的机构出具。</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宋体" w:hAnsi="宋体"/>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