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企业并购可行性研究报告 / 投资论证报告（16 章 + 3 附录）</w:t>
      </w:r>
    </w:p>
    <w:p>
      <w:r>
        <w:rPr>
          <w:rFonts w:ascii="宋体" w:hAnsi="宋体"/>
          <w:color w:val="777777"/>
          <w:sz w:val="18"/>
        </w:rPr>
        <w:t>适用：企业并购、股权收购、资产收购的事前论证 · 中撰咨询 159 8903 9303（余经理）</w:t>
      </w:r>
    </w:p>
    <w:p>
      <w:pPr>
        <w:pStyle w:val="Heading2"/>
      </w:pPr>
      <w:r>
        <w:t>使用前提（先读这段，决定能不能接）</w:t>
      </w:r>
    </w:p>
    <w:p>
      <w:r>
        <w:rPr>
          <w:rFonts w:ascii="宋体" w:hAnsi="宋体"/>
          <w:b/>
          <w:sz w:val="21"/>
        </w:rPr>
        <w:t>能做：</w:t>
      </w:r>
      <w:r>
        <w:rPr>
          <w:rFonts w:ascii="宋体" w:hAnsi="宋体"/>
          <w:sz w:val="21"/>
        </w:rPr>
        <w:t>并购可行性研究报告、投资论证报告、并购方案比选、尽职调查后的投资价值判断——研究论证性质，无强制资质要求。</w:t>
      </w:r>
    </w:p>
    <w:p>
      <w:r>
        <w:rPr>
          <w:rFonts w:ascii="宋体" w:hAnsi="宋体"/>
          <w:b/>
          <w:sz w:val="21"/>
        </w:rPr>
        <w:t>不能做：</w:t>
      </w:r>
      <w:r>
        <w:rPr>
          <w:rFonts w:ascii="宋体" w:hAnsi="宋体"/>
          <w:sz w:val="21"/>
        </w:rPr>
        <w:t>资产评估报告（涉国有资产或法定评估事项，须资产评估机构出具、至少两名评估师签名盖章）；法律意见书（律所）；上市公司重大资产重组的独立财务顾问意见（须持牌机构）。</w:t>
      </w:r>
    </w:p>
    <w:p>
      <w:r>
        <w:rPr>
          <w:rFonts w:ascii="宋体" w:hAnsi="宋体"/>
          <w:b/>
          <w:sz w:val="21"/>
        </w:rPr>
        <w:t>正确姿势：</w:t>
      </w:r>
      <w:r>
        <w:rPr>
          <w:rFonts w:ascii="宋体" w:hAnsi="宋体"/>
          <w:sz w:val="21"/>
        </w:rPr>
        <w:t>本报告 + 评估机构出评估 + 律所出法律意见，三件套配套。</w:t>
      </w:r>
    </w:p>
    <w:p>
      <w:pPr>
        <w:pStyle w:val="Heading2"/>
      </w:pPr>
      <w:r>
        <w:t>第一章 摘要与关键结论</w:t>
      </w:r>
    </w:p>
    <w:p>
      <w:r>
        <w:rPr>
          <w:rFonts w:ascii="宋体" w:hAnsi="宋体"/>
          <w:b/>
          <w:sz w:val="21"/>
        </w:rPr>
        <w:t>1.1 交易全貌</w:t>
      </w:r>
      <w:r>
        <w:rPr>
          <w:rFonts w:ascii="宋体" w:hAnsi="宋体"/>
          <w:sz w:val="21"/>
        </w:rPr>
        <w:t>收购方、标的、交易方式、对价、支付节奏、交割条件，一页说清。</w:t>
      </w:r>
    </w:p>
    <w:p>
      <w:r>
        <w:rPr>
          <w:rFonts w:ascii="宋体" w:hAnsi="宋体"/>
          <w:b/>
          <w:sz w:val="21"/>
        </w:rPr>
        <w:t>1.2 五个关键判断</w:t>
      </w:r>
      <w:r>
        <w:rPr>
          <w:rFonts w:ascii="宋体" w:hAnsi="宋体"/>
          <w:sz w:val="21"/>
        </w:rPr>
        <w:t>为什么买、值不值、风险控不控得住、钱够不够、买了怎么管——每条一句结论 + 一句依据。</w:t>
      </w:r>
    </w:p>
    <w:p>
      <w:r>
        <w:rPr>
          <w:rFonts w:ascii="宋体" w:hAnsi="宋体"/>
          <w:b/>
          <w:sz w:val="21"/>
        </w:rPr>
        <w:t>1.3 建议</w:t>
      </w:r>
      <w:r>
        <w:rPr>
          <w:rFonts w:ascii="宋体" w:hAnsi="宋体"/>
          <w:sz w:val="21"/>
        </w:rPr>
        <w:t>做 / 不做 / 有条件做；对价上限；必须前置完成的事项。</w:t>
      </w:r>
    </w:p>
    <w:p>
      <w:r>
        <w:rPr>
          <w:rFonts w:ascii="宋体" w:hAnsi="宋体"/>
          <w:b/>
          <w:sz w:val="21"/>
        </w:rPr>
        <w:t>写法提示：</w:t>
      </w:r>
      <w:r>
        <w:rPr>
          <w:rFonts w:ascii="宋体" w:hAnsi="宋体"/>
          <w:sz w:val="21"/>
        </w:rPr>
        <w:t>摘要在最后写、放最前面。评审只认真读这一页，其余章节是支撑。</w:t>
      </w:r>
    </w:p>
    <w:p>
      <w:pPr>
        <w:pStyle w:val="Heading2"/>
      </w:pPr>
      <w:r>
        <w:t>第二章 并购目的与战略必要性</w:t>
      </w:r>
    </w:p>
    <w:p>
      <w:r>
        <w:rPr>
          <w:rFonts w:ascii="宋体" w:hAnsi="宋体"/>
          <w:b/>
          <w:sz w:val="21"/>
        </w:rPr>
        <w:t>2.1 并购动因</w:t>
      </w:r>
      <w:r>
        <w:rPr>
          <w:rFonts w:ascii="宋体" w:hAnsi="宋体"/>
          <w:sz w:val="21"/>
        </w:rPr>
        <w:t>横向扩产、纵向控资源、跨界转型、买牌照资质、买渠道、买团队、消灭竞争对手——先归类再论证。</w:t>
      </w:r>
    </w:p>
    <w:p>
      <w:r>
        <w:rPr>
          <w:rFonts w:ascii="宋体" w:hAnsi="宋体"/>
          <w:b/>
          <w:sz w:val="21"/>
        </w:rPr>
        <w:t>2.2 与战略规划的匹配度</w:t>
      </w:r>
      <w:r>
        <w:rPr>
          <w:rFonts w:ascii="宋体" w:hAnsi="宋体"/>
          <w:sz w:val="21"/>
        </w:rPr>
        <w:t>对照收购方三年战略，说明补的是哪块短板。</w:t>
      </w:r>
    </w:p>
    <w:p>
      <w:r>
        <w:rPr>
          <w:rFonts w:ascii="宋体" w:hAnsi="宋体"/>
          <w:b/>
          <w:sz w:val="21"/>
        </w:rPr>
        <w:t>2.3 不并购的替代方案</w:t>
      </w:r>
      <w:r>
        <w:rPr>
          <w:rFonts w:ascii="宋体" w:hAnsi="宋体"/>
          <w:sz w:val="21"/>
        </w:rPr>
        <w:t>自建、租赁、合资、外包四条路径的成本与时间对比。评审必看，不写等于没论证。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路径</w:t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b/>
                <w:sz w:val="18"/>
              </w:rPr>
              <w:t>投入（万元）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见效时间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可控性</w:t>
            </w:r>
          </w:p>
        </w:tc>
        <w:tc>
          <w:tcPr>
            <w:tcW w:type="dxa" w:w="3855"/>
          </w:tcPr>
          <w:p>
            <w:r>
              <w:rPr>
                <w:rFonts w:ascii="宋体" w:hAnsi="宋体"/>
                <w:b/>
                <w:sz w:val="18"/>
              </w:rPr>
              <w:t>主要障碍</w:t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并购</w:t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85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自建</w:t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85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合资</w:t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85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外包/租赁</w:t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855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第三章 标的概况</w:t>
      </w:r>
    </w:p>
    <w:p>
      <w:r>
        <w:rPr>
          <w:rFonts w:ascii="宋体" w:hAnsi="宋体"/>
          <w:b/>
          <w:sz w:val="21"/>
        </w:rPr>
        <w:t>3.1 主体与股权</w:t>
      </w:r>
      <w:r>
        <w:rPr>
          <w:rFonts w:ascii="宋体" w:hAnsi="宋体"/>
          <w:sz w:val="21"/>
        </w:rPr>
        <w:t>设立时间、注册资本、股权结构（穿透至实际控制人）、历史沿革中的重大变更。</w:t>
      </w:r>
    </w:p>
    <w:p>
      <w:r>
        <w:rPr>
          <w:rFonts w:ascii="宋体" w:hAnsi="宋体"/>
          <w:b/>
          <w:sz w:val="21"/>
        </w:rPr>
        <w:t>3.2 业务与资产</w:t>
      </w:r>
      <w:r>
        <w:rPr>
          <w:rFonts w:ascii="宋体" w:hAnsi="宋体"/>
          <w:sz w:val="21"/>
        </w:rPr>
        <w:t>主营构成、客户结构、核心资产（土地、房产、设备、无形资产）、资质与许可。</w:t>
      </w:r>
    </w:p>
    <w:p>
      <w:r>
        <w:rPr>
          <w:rFonts w:ascii="宋体" w:hAnsi="宋体"/>
          <w:b/>
          <w:sz w:val="21"/>
        </w:rPr>
        <w:t>3.3 财务现状</w:t>
      </w:r>
      <w:r>
        <w:rPr>
          <w:rFonts w:ascii="宋体" w:hAnsi="宋体"/>
          <w:sz w:val="21"/>
        </w:rPr>
        <w:t>近三年营收、毛利、净利、现金流、资产负债率；数据须来自审计报告，未审计的显著标注。</w:t>
      </w:r>
    </w:p>
    <w:p>
      <w:r>
        <w:rPr>
          <w:rFonts w:ascii="宋体" w:hAnsi="宋体"/>
          <w:b/>
          <w:sz w:val="21"/>
        </w:rPr>
        <w:t>3.4 人员与隐性负债</w:t>
      </w:r>
      <w:r>
        <w:rPr>
          <w:rFonts w:ascii="宋体" w:hAnsi="宋体"/>
          <w:sz w:val="21"/>
        </w:rPr>
        <w:t>在册人数、社保缴纳、对外担保、诉讼、欠税、环保处罚。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3061"/>
          </w:tcPr>
          <w:p>
            <w:r>
              <w:rPr>
                <w:rFonts w:ascii="宋体" w:hAnsi="宋体"/>
                <w:b/>
                <w:sz w:val="18"/>
              </w:rPr>
              <w:t>指标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第一年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第二年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第三年</w:t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营业收入（万元）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毛利率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净利润（万元）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经营活动现金流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资产负债率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第四章 尽职调查发现</w:t>
      </w:r>
    </w:p>
    <w:p>
      <w:r>
        <w:rPr>
          <w:rFonts w:ascii="宋体" w:hAnsi="宋体"/>
          <w:b/>
          <w:sz w:val="21"/>
        </w:rPr>
        <w:t>4.1 财务尽调</w:t>
      </w:r>
      <w:r>
        <w:rPr>
          <w:rFonts w:ascii="宋体" w:hAnsi="宋体"/>
          <w:sz w:val="21"/>
        </w:rPr>
        <w:t>收入确认口径、关联交易占比、应收账款账龄、存货与在建工程真实性。</w:t>
      </w:r>
    </w:p>
    <w:p>
      <w:r>
        <w:rPr>
          <w:rFonts w:ascii="宋体" w:hAnsi="宋体"/>
          <w:b/>
          <w:sz w:val="21"/>
        </w:rPr>
        <w:t>4.2 法律尽调</w:t>
      </w:r>
      <w:r>
        <w:rPr>
          <w:rFonts w:ascii="宋体" w:hAnsi="宋体"/>
          <w:sz w:val="21"/>
        </w:rPr>
        <w:t>股权瑕疵、抵押质押、诉讼仲裁、劳动用工、知识产权归属。</w:t>
      </w:r>
    </w:p>
    <w:p>
      <w:r>
        <w:rPr>
          <w:rFonts w:ascii="宋体" w:hAnsi="宋体"/>
          <w:b/>
          <w:sz w:val="21"/>
        </w:rPr>
        <w:t>4.3 业务尽调</w:t>
      </w:r>
      <w:r>
        <w:rPr>
          <w:rFonts w:ascii="宋体" w:hAnsi="宋体"/>
          <w:sz w:val="21"/>
        </w:rPr>
        <w:t>客户集中度、订单可持续性、核心人员留任意愿、供应链依赖。</w:t>
      </w:r>
    </w:p>
    <w:p>
      <w:r>
        <w:rPr>
          <w:rFonts w:ascii="宋体" w:hAnsi="宋体"/>
          <w:b/>
          <w:sz w:val="21"/>
        </w:rPr>
        <w:t>4.4 重大风险清单</w:t>
      </w:r>
      <w:r>
        <w:rPr>
          <w:rFonts w:ascii="宋体" w:hAnsi="宋体"/>
          <w:sz w:val="21"/>
        </w:rPr>
        <w:t>逐条标注「可接受 / 需设保护条款 / 构成否决项」。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381"/>
          </w:tcPr>
          <w:p>
            <w:r>
              <w:rPr>
                <w:rFonts w:ascii="宋体" w:hAnsi="宋体"/>
                <w:b/>
                <w:sz w:val="18"/>
              </w:rPr>
              <w:t>风险项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b/>
                <w:sz w:val="18"/>
              </w:rPr>
              <w:t>尽调结论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影响金额（万元）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b/>
                <w:sz w:val="18"/>
              </w:rPr>
              <w:t>处置方式</w:t>
            </w:r>
          </w:p>
        </w:tc>
      </w:tr>
      <w:tr>
        <w:tc>
          <w:tcPr>
            <w:tcW w:type="dxa" w:w="238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可接受/设保护条款/否决</w:t>
            </w:r>
          </w:p>
        </w:tc>
      </w:tr>
    </w:tbl>
    <w:p>
      <w:pPr>
        <w:pStyle w:val="Heading2"/>
      </w:pPr>
      <w:r>
        <w:t>第五章 交易方案设计</w:t>
      </w:r>
    </w:p>
    <w:p>
      <w:r>
        <w:rPr>
          <w:rFonts w:ascii="宋体" w:hAnsi="宋体"/>
          <w:b/>
          <w:sz w:val="21"/>
        </w:rPr>
        <w:t>5.1 交易结构</w:t>
      </w:r>
      <w:r>
        <w:rPr>
          <w:rFonts w:ascii="宋体" w:hAnsi="宋体"/>
          <w:sz w:val="21"/>
        </w:rPr>
        <w:t>股权收购 / 资产收购 / 增资入股 / 合并；是否设 SPV；是否分期。</w:t>
      </w:r>
    </w:p>
    <w:p>
      <w:r>
        <w:rPr>
          <w:rFonts w:ascii="宋体" w:hAnsi="宋体"/>
          <w:b/>
          <w:sz w:val="21"/>
        </w:rPr>
        <w:t>5.2 作价与支付</w:t>
      </w:r>
      <w:r>
        <w:rPr>
          <w:rFonts w:ascii="宋体" w:hAnsi="宋体"/>
          <w:sz w:val="21"/>
        </w:rPr>
        <w:t>作价依据（评估值或协商值，注明口径）、支付节奏、是否含业绩对赌。</w:t>
      </w:r>
    </w:p>
    <w:p>
      <w:r>
        <w:rPr>
          <w:rFonts w:ascii="宋体" w:hAnsi="宋体"/>
          <w:b/>
          <w:sz w:val="21"/>
        </w:rPr>
        <w:t>5.3 对赌与保护条款</w:t>
      </w:r>
      <w:r>
        <w:rPr>
          <w:rFonts w:ascii="宋体" w:hAnsi="宋体"/>
          <w:sz w:val="21"/>
        </w:rPr>
        <w:t>承诺期、补偿方式与计算公式、回购触发、竞业限制、核心人员留任年限。</w:t>
      </w:r>
    </w:p>
    <w:p>
      <w:r>
        <w:rPr>
          <w:rFonts w:ascii="宋体" w:hAnsi="宋体"/>
          <w:b/>
          <w:sz w:val="21"/>
        </w:rPr>
        <w:t>5.4 交割条件</w:t>
      </w:r>
      <w:r>
        <w:rPr>
          <w:rFonts w:ascii="宋体" w:hAnsi="宋体"/>
          <w:sz w:val="21"/>
        </w:rPr>
        <w:t>审批前置（国资审批 / 反垄断申报 / 行业准入）、债权债务处理、人员安置。</w:t>
      </w:r>
    </w:p>
    <w:p>
      <w:pPr>
        <w:pStyle w:val="Heading2"/>
      </w:pPr>
      <w:r>
        <w:t>第六章 投资估算与资金筹措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3061"/>
          </w:tcPr>
          <w:p>
            <w:r>
              <w:rPr>
                <w:rFonts w:ascii="宋体" w:hAnsi="宋体"/>
                <w:b/>
                <w:sz w:val="18"/>
              </w:rPr>
              <w:t>项目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金额（万元）</w:t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b/>
                <w:sz w:val="18"/>
              </w:rPr>
              <w:t>说明</w:t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股权/资产对价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承接债务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中介费用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  <w:t>评估、律所、审计、顾问</w:t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整合与技改投入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流动资金补充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  <w:t>合计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r>
        <w:rPr>
          <w:rFonts w:ascii="宋体" w:hAnsi="宋体"/>
          <w:b/>
          <w:sz w:val="21"/>
        </w:rPr>
        <w:t>资金筹措：</w:t>
      </w:r>
      <w:r>
        <w:rPr>
          <w:rFonts w:ascii="宋体" w:hAnsi="宋体"/>
          <w:sz w:val="21"/>
        </w:rPr>
        <w:t>自有资金比例、融资方式与成本、还款来源、收购后资产负债率是否突破监管红线。</w:t>
      </w:r>
    </w:p>
    <w:p>
      <w:pPr>
        <w:pStyle w:val="Heading2"/>
      </w:pPr>
      <w:r>
        <w:t>第七章 效益测算</w:t>
      </w:r>
    </w:p>
    <w:p>
      <w:r>
        <w:rPr>
          <w:rFonts w:ascii="宋体" w:hAnsi="宋体"/>
          <w:b/>
          <w:sz w:val="21"/>
        </w:rPr>
        <w:t>7.1 收益预测</w:t>
      </w:r>
      <w:r>
        <w:rPr>
          <w:rFonts w:ascii="宋体" w:hAnsi="宋体"/>
          <w:sz w:val="21"/>
        </w:rPr>
        <w:t>并购后三年收入、成本、利润预测，写清协同效应怎么落地。</w:t>
      </w:r>
    </w:p>
    <w:p>
      <w:r>
        <w:rPr>
          <w:rFonts w:ascii="宋体" w:hAnsi="宋体"/>
          <w:b/>
          <w:sz w:val="21"/>
        </w:rPr>
        <w:t>7.2 评价指标</w:t>
      </w:r>
      <w:r>
        <w:rPr>
          <w:rFonts w:ascii="宋体" w:hAnsi="宋体"/>
          <w:sz w:val="21"/>
        </w:rPr>
        <w:t>投资回收期、NPV、IRR，附敏感性分析。</w:t>
      </w:r>
    </w:p>
    <w:p>
      <w:r>
        <w:rPr>
          <w:rFonts w:ascii="宋体" w:hAnsi="宋体"/>
          <w:b/>
          <w:sz w:val="21"/>
        </w:rPr>
        <w:t>7.3 与历史口径的一致性</w:t>
      </w:r>
      <w:r>
        <w:rPr>
          <w:rFonts w:ascii="宋体" w:hAnsi="宋体"/>
          <w:sz w:val="21"/>
        </w:rPr>
        <w:t>预测假设与历史数据、行业基准的对应关系，避免凭空拍数。</w:t>
      </w:r>
    </w:p>
    <w:p>
      <w:pPr>
        <w:pStyle w:val="Heading2"/>
      </w:pPr>
      <w:r>
        <w:t>第八章 协同效应专项测算</w:t>
      </w:r>
    </w:p>
    <w:p>
      <w:r>
        <w:rPr>
          <w:rFonts w:ascii="宋体" w:hAnsi="宋体"/>
          <w:b/>
          <w:sz w:val="21"/>
        </w:rPr>
        <w:t>8.1 收入协同</w:t>
      </w:r>
      <w:r>
        <w:rPr>
          <w:rFonts w:ascii="宋体" w:hAnsi="宋体"/>
          <w:sz w:val="21"/>
        </w:rPr>
        <w:t>客户互导、渠道合并、交叉销售带来的新增订单，给测算依据。</w:t>
      </w:r>
    </w:p>
    <w:p>
      <w:r>
        <w:rPr>
          <w:rFonts w:ascii="宋体" w:hAnsi="宋体"/>
          <w:b/>
          <w:sz w:val="21"/>
        </w:rPr>
        <w:t>8.2 成本协同</w:t>
      </w:r>
      <w:r>
        <w:rPr>
          <w:rFonts w:ascii="宋体" w:hAnsi="宋体"/>
          <w:sz w:val="21"/>
        </w:rPr>
        <w:t>采购合并、重复产能处置、管理费用压缩，逐项给金额。</w:t>
      </w:r>
    </w:p>
    <w:p>
      <w:r>
        <w:rPr>
          <w:rFonts w:ascii="宋体" w:hAnsi="宋体"/>
          <w:b/>
          <w:sz w:val="21"/>
        </w:rPr>
        <w:t>8.3 资金协同</w:t>
      </w:r>
      <w:r>
        <w:rPr>
          <w:rFonts w:ascii="宋体" w:hAnsi="宋体"/>
          <w:sz w:val="21"/>
        </w:rPr>
        <w:t>融资成本下降、资金集中管理收益。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协同类型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b/>
                <w:sz w:val="18"/>
              </w:rPr>
              <w:t>测算依据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第一年（万元）</w:t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b/>
                <w:sz w:val="18"/>
              </w:rPr>
              <w:t>第二年</w:t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b/>
                <w:sz w:val="18"/>
              </w:rPr>
              <w:t>第三年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b/>
                <w:sz w:val="18"/>
              </w:rPr>
              <w:t>落地责任人</w:t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收入协同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成本协同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资金协同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  <w:t>合计</w:t>
            </w:r>
          </w:p>
        </w:tc>
        <w:tc>
          <w:tcPr>
            <w:tcW w:type="dxa" w:w="30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47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r>
        <w:rPr>
          <w:rFonts w:ascii="宋体" w:hAnsi="宋体"/>
          <w:b/>
          <w:sz w:val="21"/>
        </w:rPr>
        <w:t>提醒：</w:t>
      </w:r>
      <w:r>
        <w:rPr>
          <w:rFonts w:ascii="宋体" w:hAnsi="宋体"/>
          <w:sz w:val="21"/>
        </w:rPr>
        <w:t>只写“预计产生协同效应”的报告，在国资评审会上基本过不了。</w:t>
      </w:r>
    </w:p>
    <w:p>
      <w:pPr>
        <w:pStyle w:val="Heading2"/>
      </w:pPr>
      <w:r>
        <w:t>第九章 整合方案（100 天）</w:t>
      </w:r>
    </w:p>
    <w:p>
      <w:r>
        <w:rPr>
          <w:rFonts w:ascii="宋体" w:hAnsi="宋体"/>
          <w:b/>
          <w:sz w:val="21"/>
        </w:rPr>
        <w:t>9.1 组织与人员</w:t>
      </w:r>
      <w:r>
        <w:rPr>
          <w:rFonts w:ascii="宋体" w:hAnsi="宋体"/>
          <w:sz w:val="21"/>
        </w:rPr>
        <w:t>管理层留任安排、关键岗位接管节奏、员工安置方案。</w:t>
      </w:r>
    </w:p>
    <w:p>
      <w:r>
        <w:rPr>
          <w:rFonts w:ascii="宋体" w:hAnsi="宋体"/>
          <w:b/>
          <w:sz w:val="21"/>
        </w:rPr>
        <w:t>9.2 业务整合</w:t>
      </w:r>
      <w:r>
        <w:rPr>
          <w:rFonts w:ascii="宋体" w:hAnsi="宋体"/>
          <w:sz w:val="21"/>
        </w:rPr>
        <w:t>客户与渠道合并、供应链统一、重复产能处置。</w:t>
      </w:r>
    </w:p>
    <w:p>
      <w:r>
        <w:rPr>
          <w:rFonts w:ascii="宋体" w:hAnsi="宋体"/>
          <w:b/>
          <w:sz w:val="21"/>
        </w:rPr>
        <w:t>9.3 财务与系统</w:t>
      </w:r>
      <w:r>
        <w:rPr>
          <w:rFonts w:ascii="宋体" w:hAnsi="宋体"/>
          <w:sz w:val="21"/>
        </w:rPr>
        <w:t>账套合并、资金集中管理、ERP 对接。</w:t>
      </w:r>
    </w:p>
    <w:p>
      <w:r>
        <w:rPr>
          <w:rFonts w:ascii="宋体" w:hAnsi="宋体"/>
          <w:b/>
          <w:sz w:val="21"/>
        </w:rPr>
        <w:t>9.4 里程碑与验收</w:t>
      </w:r>
      <w:r>
        <w:rPr>
          <w:rFonts w:ascii="宋体" w:hAnsi="宋体"/>
          <w:sz w:val="21"/>
        </w:rPr>
        <w:t>客户流失率 ≤5%、核心人员留任率 ≥90%、重复费用压降达测算值 60%。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1814"/>
          </w:tcPr>
          <w:p>
            <w:r>
              <w:rPr>
                <w:rFonts w:ascii="宋体" w:hAnsi="宋体"/>
                <w:b/>
                <w:sz w:val="18"/>
              </w:rPr>
              <w:t>线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b/>
                <w:sz w:val="18"/>
              </w:rPr>
              <w:t>前 30 天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b/>
                <w:sz w:val="18"/>
              </w:rPr>
              <w:t>31–70 天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b/>
                <w:sz w:val="18"/>
              </w:rPr>
              <w:t>71–100 天</w:t>
            </w:r>
          </w:p>
        </w:tc>
      </w:tr>
      <w:tr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  <w:t>组织人员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  <w:t>业务渠道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  <w:t>财务系统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  <w:t>沟通文化</w:t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948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第十章 税务与交易成本分析</w:t>
      </w:r>
    </w:p>
    <w:p>
      <w:r>
        <w:rPr>
          <w:rFonts w:ascii="宋体" w:hAnsi="宋体"/>
          <w:b/>
          <w:sz w:val="21"/>
        </w:rPr>
        <w:t>10.1 税负对照</w:t>
      </w:r>
      <w:r>
        <w:rPr>
          <w:rFonts w:ascii="宋体" w:hAnsi="宋体"/>
          <w:sz w:val="21"/>
        </w:rPr>
        <w:t>股权收购与资产收购在企业所得税、土地增值税、契税、增值税、印花税上的差异。</w:t>
      </w:r>
    </w:p>
    <w:p>
      <w:r>
        <w:rPr>
          <w:rFonts w:ascii="宋体" w:hAnsi="宋体"/>
          <w:b/>
          <w:sz w:val="21"/>
        </w:rPr>
        <w:t>10.2 交易成本</w:t>
      </w:r>
      <w:r>
        <w:rPr>
          <w:rFonts w:ascii="宋体" w:hAnsi="宋体"/>
          <w:sz w:val="21"/>
        </w:rPr>
        <w:t>中介费、评估费、律师费、审计费、资金占用成本。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税种/成本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股权收购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资产收购</w:t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b/>
                <w:sz w:val="18"/>
              </w:rPr>
              <w:t>备注</w:t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  <w:t>企业所得税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  <w:t>土地增值税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sz w:val="18"/>
              </w:rPr>
              <w:t>不动产占比高时为主要变量</w:t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  <w:t>契税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  <w:t>增值税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  <w:t>印花税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  <w:t>中介与交易成本</w:t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4535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r>
        <w:rPr>
          <w:rFonts w:ascii="宋体" w:hAnsi="宋体"/>
          <w:b/>
          <w:sz w:val="21"/>
        </w:rPr>
        <w:t>边界：</w:t>
      </w:r>
      <w:r>
        <w:rPr>
          <w:rFonts w:ascii="宋体" w:hAnsi="宋体"/>
          <w:sz w:val="21"/>
        </w:rPr>
        <w:t>税制逻辑在本章说明，正式税务意见由税务师事务所出具。</w:t>
      </w:r>
    </w:p>
    <w:p>
      <w:pPr>
        <w:pStyle w:val="Heading2"/>
      </w:pPr>
      <w:r>
        <w:t>第十一章 审批与合规路径</w:t>
      </w:r>
    </w:p>
    <w:p>
      <w:r>
        <w:rPr>
          <w:rFonts w:ascii="宋体" w:hAnsi="宋体"/>
          <w:b/>
          <w:sz w:val="21"/>
        </w:rPr>
        <w:t>11.1 国资审批</w:t>
      </w:r>
      <w:r>
        <w:rPr>
          <w:rFonts w:ascii="宋体" w:hAnsi="宋体"/>
          <w:sz w:val="21"/>
        </w:rPr>
        <w:t>经济行为批准、评估备案或核准、进场交易或协议转让。</w:t>
      </w:r>
    </w:p>
    <w:p>
      <w:r>
        <w:rPr>
          <w:rFonts w:ascii="宋体" w:hAnsi="宋体"/>
          <w:b/>
          <w:sz w:val="21"/>
        </w:rPr>
        <w:t>11.2 反垄断申报</w:t>
      </w:r>
      <w:r>
        <w:rPr>
          <w:rFonts w:ascii="宋体" w:hAnsi="宋体"/>
          <w:sz w:val="21"/>
        </w:rPr>
        <w:t>是否达到申报标准、申报时点与审查周期。</w:t>
      </w:r>
    </w:p>
    <w:p>
      <w:r>
        <w:rPr>
          <w:rFonts w:ascii="宋体" w:hAnsi="宋体"/>
          <w:b/>
          <w:sz w:val="21"/>
        </w:rPr>
        <w:t>11.3 行业准入</w:t>
      </w:r>
      <w:r>
        <w:rPr>
          <w:rFonts w:ascii="宋体" w:hAnsi="宋体"/>
          <w:sz w:val="21"/>
        </w:rPr>
        <w:t>牌照、资质、特许经营权的可转移性。</w:t>
      </w:r>
    </w:p>
    <w:p>
      <w:r>
        <w:rPr>
          <w:rFonts w:ascii="宋体" w:hAnsi="宋体"/>
          <w:b/>
          <w:sz w:val="21"/>
        </w:rPr>
        <w:t>11.4 跨境审批</w:t>
      </w:r>
      <w:r>
        <w:rPr>
          <w:rFonts w:ascii="宋体" w:hAnsi="宋体"/>
          <w:sz w:val="21"/>
        </w:rPr>
        <w:t>发展改革部门备案/核准、商务部门备案、外汇登记及资金出境。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2041"/>
          </w:tcPr>
          <w:p>
            <w:r>
              <w:rPr>
                <w:rFonts w:ascii="宋体" w:hAnsi="宋体"/>
                <w:b/>
                <w:sz w:val="18"/>
              </w:rPr>
              <w:t>审批事项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b/>
                <w:sz w:val="18"/>
              </w:rPr>
              <w:t>主管机关</w:t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b/>
                <w:sz w:val="18"/>
              </w:rPr>
              <w:t>形式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预计耗时</w:t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b/>
                <w:sz w:val="18"/>
              </w:rPr>
              <w:t>是否前置交割</w:t>
            </w:r>
          </w:p>
        </w:tc>
      </w:tr>
      <w:tr>
        <w:tc>
          <w:tcPr>
            <w:tcW w:type="dxa" w:w="204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81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第十二章 融资方案与偿债能力</w:t>
      </w:r>
    </w:p>
    <w:p>
      <w:r>
        <w:rPr>
          <w:rFonts w:ascii="宋体" w:hAnsi="宋体"/>
          <w:b/>
          <w:sz w:val="21"/>
        </w:rPr>
        <w:t>12.1 融资结构</w:t>
      </w:r>
      <w:r>
        <w:rPr>
          <w:rFonts w:ascii="宋体" w:hAnsi="宋体"/>
          <w:sz w:val="21"/>
        </w:rPr>
        <w:t>自有资金、并购贷款、股东借款、债券；各自成本与期限。</w:t>
      </w:r>
    </w:p>
    <w:p>
      <w:r>
        <w:rPr>
          <w:rFonts w:ascii="宋体" w:hAnsi="宋体"/>
          <w:b/>
          <w:sz w:val="21"/>
        </w:rPr>
        <w:t>12.2 偿债能力</w:t>
      </w:r>
      <w:r>
        <w:rPr>
          <w:rFonts w:ascii="宋体" w:hAnsi="宋体"/>
          <w:sz w:val="21"/>
        </w:rPr>
        <w:t>利息保障倍数、经营现金流对本息的覆盖、资产负债率走势。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2835"/>
          </w:tcPr>
          <w:p>
            <w:r>
              <w:rPr>
                <w:rFonts w:ascii="宋体" w:hAnsi="宋体"/>
                <w:b/>
                <w:sz w:val="18"/>
              </w:rPr>
              <w:t>指标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b/>
                <w:sz w:val="18"/>
              </w:rPr>
              <w:t>交割当年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b/>
                <w:sz w:val="18"/>
              </w:rPr>
              <w:t>第二年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b/>
                <w:sz w:val="18"/>
              </w:rPr>
              <w:t>第三年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b/>
                <w:sz w:val="18"/>
              </w:rPr>
              <w:t>预警线</w:t>
            </w:r>
          </w:p>
        </w:tc>
      </w:tr>
      <w:tr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  <w:t>资产负债率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  <w:t>利息保障倍数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  <w:t>经营现金流/本息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第十三章 情景分析与压力测试</w:t>
      </w:r>
    </w:p>
    <w:p>
      <w:r>
        <w:rPr>
          <w:rFonts w:ascii="宋体" w:hAnsi="宋体"/>
          <w:b/>
          <w:sz w:val="21"/>
        </w:rPr>
        <w:t>13.1 三情景</w:t>
      </w:r>
      <w:r>
        <w:rPr>
          <w:rFonts w:ascii="宋体" w:hAnsi="宋体"/>
          <w:sz w:val="21"/>
        </w:rPr>
        <w:t>基准、乐观、悲观，各自的核心假设差异写清。</w:t>
      </w:r>
    </w:p>
    <w:p>
      <w:r>
        <w:rPr>
          <w:rFonts w:ascii="宋体" w:hAnsi="宋体"/>
          <w:b/>
          <w:sz w:val="21"/>
        </w:rPr>
        <w:t>13.2 压力测试</w:t>
      </w:r>
      <w:r>
        <w:rPr>
          <w:rFonts w:ascii="宋体" w:hAnsi="宋体"/>
          <w:sz w:val="21"/>
        </w:rPr>
        <w:t>对价上浮 10%、收入下滑 20%、整合延后 6 个月三种冲击的影响。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2608"/>
          </w:tcPr>
          <w:p>
            <w:r>
              <w:rPr>
                <w:rFonts w:ascii="宋体" w:hAnsi="宋体"/>
                <w:b/>
                <w:sz w:val="18"/>
              </w:rPr>
              <w:t>情景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b/>
                <w:sz w:val="18"/>
              </w:rPr>
              <w:t>收入假设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IRR</w:t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b/>
                <w:sz w:val="18"/>
              </w:rPr>
              <w:t>回收期</w:t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b/>
                <w:sz w:val="18"/>
              </w:rPr>
              <w:t>结论</w:t>
            </w:r>
          </w:p>
        </w:tc>
      </w:tr>
      <w:tr>
        <w:tc>
          <w:tcPr>
            <w:tcW w:type="dxa" w:w="2608"/>
          </w:tcPr>
          <w:p>
            <w:r>
              <w:rPr>
                <w:rFonts w:ascii="宋体" w:hAnsi="宋体"/>
                <w:sz w:val="18"/>
              </w:rPr>
              <w:t>基准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608"/>
          </w:tcPr>
          <w:p>
            <w:r>
              <w:rPr>
                <w:rFonts w:ascii="宋体" w:hAnsi="宋体"/>
                <w:sz w:val="18"/>
              </w:rPr>
              <w:t>乐观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608"/>
          </w:tcPr>
          <w:p>
            <w:r>
              <w:rPr>
                <w:rFonts w:ascii="宋体" w:hAnsi="宋体"/>
                <w:sz w:val="18"/>
              </w:rPr>
              <w:t>悲观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608"/>
          </w:tcPr>
          <w:p>
            <w:r>
              <w:rPr>
                <w:rFonts w:ascii="宋体" w:hAnsi="宋体"/>
                <w:sz w:val="18"/>
              </w:rPr>
              <w:t>压力：收入-20%</w:t>
            </w:r>
          </w:p>
        </w:tc>
        <w:tc>
          <w:tcPr>
            <w:tcW w:type="dxa" w:w="226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70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835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第十四章 风险识别与应对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决策风险、估值风险、整合风险、政策合规风险、退出风险五类；每类写发生条件、影响幅度、缓释措施、责任人。</w:t>
      </w:r>
    </w:p>
    <w:p>
      <w:pPr>
        <w:pStyle w:val="Heading2"/>
      </w:pPr>
      <w:r>
        <w:t>第十五章 退出机制与后续管理</w:t>
      </w:r>
    </w:p>
    <w:p>
      <w:r>
        <w:rPr>
          <w:rFonts w:ascii="宋体" w:hAnsi="宋体"/>
          <w:b/>
          <w:sz w:val="21"/>
        </w:rPr>
        <w:t>15.1 退出路径</w:t>
      </w:r>
      <w:r>
        <w:rPr>
          <w:rFonts w:ascii="宋体" w:hAnsi="宋体"/>
          <w:sz w:val="21"/>
        </w:rPr>
        <w:t>股权回购、二次出售、IPO、清算；各自的触发条件与预计周期。</w:t>
      </w:r>
    </w:p>
    <w:p>
      <w:r>
        <w:rPr>
          <w:rFonts w:ascii="宋体" w:hAnsi="宋体"/>
          <w:b/>
          <w:sz w:val="21"/>
        </w:rPr>
        <w:t>15.2 后续管理</w:t>
      </w:r>
      <w:r>
        <w:rPr>
          <w:rFonts w:ascii="宋体" w:hAnsi="宋体"/>
          <w:sz w:val="21"/>
        </w:rPr>
        <w:t>委派董事监事、财务管控、经营考核、年度审计。</w:t>
      </w:r>
    </w:p>
    <w:p>
      <w:r>
        <w:rPr>
          <w:rFonts w:ascii="宋体" w:hAnsi="宋体"/>
          <w:b/>
          <w:sz w:val="21"/>
        </w:rPr>
        <w:t>15.3 后评价安排</w:t>
      </w:r>
      <w:r>
        <w:rPr>
          <w:rFonts w:ascii="宋体" w:hAnsi="宋体"/>
          <w:sz w:val="21"/>
        </w:rPr>
        <w:t>按国资监管要求，项目完成后纳入年度后评价范围，本报告即为对照基准。</w:t>
      </w:r>
    </w:p>
    <w:p>
      <w:pPr>
        <w:pStyle w:val="Heading2"/>
      </w:pPr>
      <w:r>
        <w:t>第十六章 结论与建议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是否建议实施、建议对价上限、必须前置完成的事项、条件不满足时的退出机制。</w:t>
      </w:r>
    </w:p>
    <w:p>
      <w:pPr>
        <w:pStyle w:val="Heading2"/>
      </w:pPr>
      <w:r>
        <w:t>附录 A 附件清单</w:t>
      </w:r>
    </w:p>
    <w:p>
      <w:r>
        <w:rPr>
          <w:rFonts w:ascii="宋体" w:hAnsi="宋体"/>
          <w:b/>
          <w:sz w:val="21"/>
        </w:rPr>
        <w:t xml:space="preserve">A1　</w:t>
      </w:r>
      <w:r>
        <w:rPr>
          <w:rFonts w:ascii="宋体" w:hAnsi="宋体"/>
          <w:sz w:val="21"/>
        </w:rPr>
        <w:t>标的近三年审计报告</w:t>
      </w:r>
    </w:p>
    <w:p>
      <w:r>
        <w:rPr>
          <w:rFonts w:ascii="宋体" w:hAnsi="宋体"/>
          <w:b/>
          <w:sz w:val="21"/>
        </w:rPr>
        <w:t xml:space="preserve">A2　</w:t>
      </w:r>
      <w:r>
        <w:rPr>
          <w:rFonts w:ascii="宋体" w:hAnsi="宋体"/>
          <w:sz w:val="21"/>
        </w:rPr>
        <w:t>资产评估报告或作价依据说明</w:t>
      </w:r>
    </w:p>
    <w:p>
      <w:r>
        <w:rPr>
          <w:rFonts w:ascii="宋体" w:hAnsi="宋体"/>
          <w:b/>
          <w:sz w:val="21"/>
        </w:rPr>
        <w:t xml:space="preserve">A3　</w:t>
      </w:r>
      <w:r>
        <w:rPr>
          <w:rFonts w:ascii="宋体" w:hAnsi="宋体"/>
          <w:sz w:val="21"/>
        </w:rPr>
        <w:t>法律尽职调查报告</w:t>
      </w:r>
    </w:p>
    <w:p>
      <w:r>
        <w:rPr>
          <w:rFonts w:ascii="宋体" w:hAnsi="宋体"/>
          <w:b/>
          <w:sz w:val="21"/>
        </w:rPr>
        <w:t xml:space="preserve">A4　</w:t>
      </w:r>
      <w:r>
        <w:rPr>
          <w:rFonts w:ascii="宋体" w:hAnsi="宋体"/>
          <w:sz w:val="21"/>
        </w:rPr>
        <w:t>重大合同与诉讼清单</w:t>
      </w:r>
    </w:p>
    <w:p>
      <w:r>
        <w:rPr>
          <w:rFonts w:ascii="宋体" w:hAnsi="宋体"/>
          <w:b/>
          <w:sz w:val="21"/>
        </w:rPr>
        <w:t xml:space="preserve">A5　</w:t>
      </w:r>
      <w:r>
        <w:rPr>
          <w:rFonts w:ascii="宋体" w:hAnsi="宋体"/>
          <w:sz w:val="21"/>
        </w:rPr>
        <w:t>交易协议草案与对赌条款</w:t>
      </w:r>
    </w:p>
    <w:p>
      <w:r>
        <w:rPr>
          <w:rFonts w:ascii="宋体" w:hAnsi="宋体"/>
          <w:b/>
          <w:sz w:val="21"/>
        </w:rPr>
        <w:t xml:space="preserve">A6　</w:t>
      </w:r>
      <w:r>
        <w:rPr>
          <w:rFonts w:ascii="宋体" w:hAnsi="宋体"/>
          <w:sz w:val="21"/>
        </w:rPr>
        <w:t>审批文件与承诺函</w:t>
      </w:r>
    </w:p>
    <w:p>
      <w:pPr>
        <w:pStyle w:val="Heading2"/>
      </w:pPr>
      <w:r>
        <w:t>附录 B 图表清单</w:t>
      </w:r>
    </w:p>
    <w:p>
      <w:r>
        <w:rPr>
          <w:rFonts w:ascii="宋体" w:hAnsi="宋体"/>
          <w:b/>
          <w:sz w:val="21"/>
        </w:rPr>
        <w:t xml:space="preserve">B1　</w:t>
      </w:r>
      <w:r>
        <w:rPr>
          <w:rFonts w:ascii="宋体" w:hAnsi="宋体"/>
          <w:sz w:val="21"/>
        </w:rPr>
        <w:t>交易结构图</w:t>
      </w:r>
    </w:p>
    <w:p>
      <w:r>
        <w:rPr>
          <w:rFonts w:ascii="宋体" w:hAnsi="宋体"/>
          <w:b/>
          <w:sz w:val="21"/>
        </w:rPr>
        <w:t xml:space="preserve">B2　</w:t>
      </w:r>
      <w:r>
        <w:rPr>
          <w:rFonts w:ascii="宋体" w:hAnsi="宋体"/>
          <w:sz w:val="21"/>
        </w:rPr>
        <w:t>标的股权穿透图</w:t>
      </w:r>
    </w:p>
    <w:p>
      <w:r>
        <w:rPr>
          <w:rFonts w:ascii="宋体" w:hAnsi="宋体"/>
          <w:b/>
          <w:sz w:val="21"/>
        </w:rPr>
        <w:t xml:space="preserve">B3　</w:t>
      </w:r>
      <w:r>
        <w:rPr>
          <w:rFonts w:ascii="宋体" w:hAnsi="宋体"/>
          <w:sz w:val="21"/>
        </w:rPr>
        <w:t>三年财务趋势图</w:t>
      </w:r>
    </w:p>
    <w:p>
      <w:r>
        <w:rPr>
          <w:rFonts w:ascii="宋体" w:hAnsi="宋体"/>
          <w:b/>
          <w:sz w:val="21"/>
        </w:rPr>
        <w:t xml:space="preserve">B4　</w:t>
      </w:r>
      <w:r>
        <w:rPr>
          <w:rFonts w:ascii="宋体" w:hAnsi="宋体"/>
          <w:sz w:val="21"/>
        </w:rPr>
        <w:t>协同效应分解图</w:t>
      </w:r>
    </w:p>
    <w:p>
      <w:r>
        <w:rPr>
          <w:rFonts w:ascii="宋体" w:hAnsi="宋体"/>
          <w:b/>
          <w:sz w:val="21"/>
        </w:rPr>
        <w:t xml:space="preserve">B5　</w:t>
      </w:r>
      <w:r>
        <w:rPr>
          <w:rFonts w:ascii="宋体" w:hAnsi="宋体"/>
          <w:sz w:val="21"/>
        </w:rPr>
        <w:t>敏感性分析图</w:t>
      </w:r>
    </w:p>
    <w:p>
      <w:r>
        <w:rPr>
          <w:rFonts w:ascii="宋体" w:hAnsi="宋体"/>
          <w:b/>
          <w:sz w:val="21"/>
        </w:rPr>
        <w:t xml:space="preserve">B6　</w:t>
      </w:r>
      <w:r>
        <w:rPr>
          <w:rFonts w:ascii="宋体" w:hAnsi="宋体"/>
          <w:sz w:val="21"/>
        </w:rPr>
        <w:t>整合里程碑甘特图</w:t>
      </w:r>
    </w:p>
    <w:p>
      <w:pPr>
        <w:pStyle w:val="Heading2"/>
      </w:pPr>
      <w:r>
        <w:t>附录 C 术语表</w:t>
      </w:r>
    </w:p>
    <w:p>
      <w:r>
        <w:rPr>
          <w:rFonts w:ascii="宋体" w:hAnsi="宋体"/>
          <w:b/>
          <w:sz w:val="21"/>
        </w:rPr>
        <w:t>EV/EBITDA：</w:t>
      </w:r>
      <w:r>
        <w:rPr>
          <w:rFonts w:ascii="宋体" w:hAnsi="宋体"/>
          <w:sz w:val="21"/>
        </w:rPr>
        <w:t>企业价值与息税折旧摊销前利润之比，市场法常用倍数。</w:t>
      </w:r>
    </w:p>
    <w:p>
      <w:r>
        <w:rPr>
          <w:rFonts w:ascii="宋体" w:hAnsi="宋体"/>
          <w:b/>
          <w:sz w:val="21"/>
        </w:rPr>
        <w:t>WACC：</w:t>
      </w:r>
      <w:r>
        <w:rPr>
          <w:rFonts w:ascii="宋体" w:hAnsi="宋体"/>
          <w:sz w:val="21"/>
        </w:rPr>
        <w:t>加权平均资本成本，收益法折现率的基础。</w:t>
      </w:r>
    </w:p>
    <w:p>
      <w:r>
        <w:rPr>
          <w:rFonts w:ascii="宋体" w:hAnsi="宋体"/>
          <w:b/>
          <w:sz w:val="21"/>
        </w:rPr>
        <w:t>备考合并报表：</w:t>
      </w:r>
      <w:r>
        <w:rPr>
          <w:rFonts w:ascii="宋体" w:hAnsi="宋体"/>
          <w:sz w:val="21"/>
        </w:rPr>
        <w:t>假设交易已完成情况下编制的合并财务数据。</w:t>
      </w:r>
    </w:p>
    <w:p>
      <w:r>
        <w:rPr>
          <w:rFonts w:ascii="宋体" w:hAnsi="宋体"/>
          <w:b/>
          <w:sz w:val="21"/>
        </w:rPr>
        <w:t>业绩承诺（对赌）：</w:t>
      </w:r>
      <w:r>
        <w:rPr>
          <w:rFonts w:ascii="宋体" w:hAnsi="宋体"/>
          <w:sz w:val="21"/>
        </w:rPr>
        <w:t>交易对方对未来业绩的承诺及未达标时的补偿安排。</w:t>
      </w:r>
    </w:p>
    <w:p>
      <w:pPr>
        <w:pStyle w:val="Heading2"/>
      </w:pPr>
      <w:r>
        <w:t>五个最常见的退件原因</w:t>
      </w:r>
    </w:p>
    <w:p>
      <w:r>
        <w:rPr>
          <w:rFonts w:ascii="宋体" w:hAnsi="宋体"/>
          <w:b/>
          <w:sz w:val="21"/>
        </w:rPr>
        <w:t>1、</w:t>
      </w:r>
      <w:r>
        <w:rPr>
          <w:rFonts w:ascii="宋体" w:hAnsi="宋体"/>
          <w:sz w:val="21"/>
        </w:rPr>
        <w:t>没有替代方案比较，论证不充分。</w:t>
      </w:r>
    </w:p>
    <w:p>
      <w:r>
        <w:rPr>
          <w:rFonts w:ascii="宋体" w:hAnsi="宋体"/>
          <w:b/>
          <w:sz w:val="21"/>
        </w:rPr>
        <w:t>2、</w:t>
      </w:r>
      <w:r>
        <w:rPr>
          <w:rFonts w:ascii="宋体" w:hAnsi="宋体"/>
          <w:sz w:val="21"/>
        </w:rPr>
        <w:t>效益测算只有结论没有过程，协同效应全是定性描述。</w:t>
      </w:r>
    </w:p>
    <w:p>
      <w:r>
        <w:rPr>
          <w:rFonts w:ascii="宋体" w:hAnsi="宋体"/>
          <w:b/>
          <w:sz w:val="21"/>
        </w:rPr>
        <w:t>3、</w:t>
      </w:r>
      <w:r>
        <w:rPr>
          <w:rFonts w:ascii="宋体" w:hAnsi="宋体"/>
          <w:sz w:val="21"/>
        </w:rPr>
        <w:t>尽调发现的风险没有进入方案（不设对赌、不设保护条款）。</w:t>
      </w:r>
    </w:p>
    <w:p>
      <w:r>
        <w:rPr>
          <w:rFonts w:ascii="宋体" w:hAnsi="宋体"/>
          <w:b/>
          <w:sz w:val="21"/>
        </w:rPr>
        <w:t>4、</w:t>
      </w:r>
      <w:r>
        <w:rPr>
          <w:rFonts w:ascii="宋体" w:hAnsi="宋体"/>
          <w:sz w:val="21"/>
        </w:rPr>
        <w:t>作价依据与评估报告口径不一致。</w:t>
      </w:r>
    </w:p>
    <w:p>
      <w:r>
        <w:rPr>
          <w:rFonts w:ascii="宋体" w:hAnsi="宋体"/>
          <w:b/>
          <w:sz w:val="21"/>
        </w:rPr>
        <w:t>5、</w:t>
      </w:r>
      <w:r>
        <w:rPr>
          <w:rFonts w:ascii="宋体" w:hAnsi="宋体"/>
          <w:sz w:val="21"/>
        </w:rPr>
        <w:t>缺整合方案，只写到签约为止。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