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投资价值分析报告（研究型，非评估报告）</w:t>
      </w:r>
    </w:p>
    <w:p>
      <w:r>
        <w:rPr>
          <w:rFonts w:ascii="宋体" w:hAnsi="宋体"/>
          <w:color w:val="777777"/>
          <w:sz w:val="18"/>
        </w:rPr>
        <w:t>适用：企业内部投资决策、招商合作、股权合作参考 · 不用于国有资产评估定价与证券业务 · 中撰咨询</w:t>
      </w:r>
    </w:p>
    <w:p>
      <w:pPr>
        <w:pStyle w:val="Heading2"/>
      </w:pPr>
      <w:r>
        <w:t>重要声明（报告首页必须写明）</w:t>
      </w:r>
    </w:p>
    <w:p>
      <w:r>
        <w:rPr>
          <w:rFonts w:ascii="宋体" w:hAnsi="宋体"/>
          <w:b/>
          <w:sz w:val="21"/>
        </w:rPr>
        <w:t>声明：</w:t>
      </w:r>
      <w:r>
        <w:rPr>
          <w:rFonts w:ascii="宋体" w:hAnsi="宋体"/>
          <w:sz w:val="21"/>
        </w:rPr>
        <w:t>本报告为研究型投资价值分析，不构成资产评估报告。涉及国有资产转让、出资、抵押等法定评估事项的，应当委托具有相应资质的资产评估机构出具评估报告；涉及证券发行与交易的，应由具备证券服务业务备案资格的机构出具。</w:t>
      </w:r>
    </w:p>
    <w:p>
      <w:pPr>
        <w:pStyle w:val="Heading2"/>
      </w:pPr>
      <w:r>
        <w:t>第一章 分析对象与目的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明确分析的是标的公司股权、某个项目、还是某项资产；明确用途（内部决策/招商谈判/合作参考），用途直接决定深度与免责边界。</w:t>
      </w:r>
    </w:p>
    <w:p>
      <w:pPr>
        <w:pStyle w:val="Heading2"/>
      </w:pPr>
      <w:r>
        <w:t>第二章 标的概况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股权结构、主营业务、资产构成、人员规模、资质与许可、历史沿革中的重大事项。</w:t>
      </w:r>
    </w:p>
    <w:p>
      <w:pPr>
        <w:pStyle w:val="Heading2"/>
      </w:pPr>
      <w:r>
        <w:t>第三章 行业与市场分析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市场规模与增速（注明数据来源）、竞争格局、政策环境、上下游议价能力。</w:t>
      </w:r>
    </w:p>
    <w:p>
      <w:pPr>
        <w:pStyle w:val="Heading2"/>
      </w:pPr>
      <w:r>
        <w:t>第四章 财务分析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近三年收入、毛利、净利、现金流；资产负债结构；关键财务比率（毛利率、周转率、负债率）。数据以审计报告为准，未审计的需注明。</w:t>
      </w:r>
    </w:p>
    <w:p>
      <w:pPr>
        <w:pStyle w:val="Heading2"/>
      </w:pPr>
      <w:r>
        <w:t>第五章 估值分析（多方法交叉）</w:t>
      </w:r>
    </w:p>
    <w:p>
      <w:r>
        <w:rPr>
          <w:rFonts w:ascii="宋体" w:hAnsi="宋体"/>
          <w:b/>
          <w:sz w:val="21"/>
        </w:rPr>
        <w:t>5.1 收益法</w:t>
      </w:r>
      <w:r>
        <w:rPr>
          <w:rFonts w:ascii="宋体" w:hAnsi="宋体"/>
          <w:sz w:val="21"/>
        </w:rPr>
        <w:t>未来现金流预测 + 折现率选取依据，敏感性分析至少三档。</w:t>
      </w:r>
    </w:p>
    <w:p>
      <w:r>
        <w:rPr>
          <w:rFonts w:ascii="宋体" w:hAnsi="宋体"/>
          <w:b/>
          <w:sz w:val="21"/>
        </w:rPr>
        <w:t>5.2 市场法</w:t>
      </w:r>
      <w:r>
        <w:rPr>
          <w:rFonts w:ascii="宋体" w:hAnsi="宋体"/>
          <w:sz w:val="21"/>
        </w:rPr>
        <w:t>可比公司/可比交易倍数（PE、PB、EV/EBITDA），说明可比性。</w:t>
      </w:r>
    </w:p>
    <w:p>
      <w:r>
        <w:rPr>
          <w:rFonts w:ascii="宋体" w:hAnsi="宋体"/>
          <w:b/>
          <w:sz w:val="21"/>
        </w:rPr>
        <w:t>5.3 资产基础法</w:t>
      </w:r>
      <w:r>
        <w:rPr>
          <w:rFonts w:ascii="宋体" w:hAnsi="宋体"/>
          <w:sz w:val="21"/>
        </w:rPr>
        <w:t>净资产调整项逐条列示。</w:t>
      </w:r>
    </w:p>
    <w:p>
      <w:r>
        <w:rPr>
          <w:rFonts w:ascii="宋体" w:hAnsi="宋体"/>
          <w:b/>
          <w:sz w:val="21"/>
        </w:rPr>
        <w:t>结论：</w:t>
      </w:r>
      <w:r>
        <w:rPr>
          <w:rFonts w:ascii="宋体" w:hAnsi="宋体"/>
          <w:sz w:val="21"/>
        </w:rPr>
        <w:t>给区间不给单点，标明区间上下限的假设条件。</w:t>
      </w:r>
    </w:p>
    <w:p>
      <w:pPr>
        <w:pStyle w:val="Heading2"/>
      </w:pPr>
      <w:r>
        <w:t>第六章 投资风险与建议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市场风险、财务风险、法律与合规风险、管理风险、退出风险，每类给缓释措施。</w:t>
      </w:r>
    </w:p>
    <w:p>
      <w:pPr>
        <w:pStyle w:val="Heading2"/>
      </w:pPr>
      <w:r>
        <w:t>第七章 结论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是否具备投资价值、建议的进入方式与价格区间、需进一步核实的事项清单。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